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黑体" w:hAnsi="黑体" w:eastAsia="黑体" w:cs="黑体"/>
          <w:b/>
          <w:color w:val="000000"/>
          <w:sz w:val="36"/>
        </w:rPr>
        <w:t>意见陈述书</w:t>
      </w:r>
    </w:p>
    <w:p>
      <w:pPr>
        <w:ind w:firstLine="420"/>
      </w:pPr>
      <w:r>
        <w:rPr>
          <w:rFonts w:ascii="宋体" w:hAnsi="宋体" w:eastAsia="宋体" w:cs="宋体"/>
          <w:b/>
          <w:color w:val="000000"/>
          <w:sz w:val="24"/>
        </w:rPr>
        <w:t>申请号：</w:t>
      </w:r>
      <w:r>
        <w:rPr>
          <w:rFonts w:ascii="宋体" w:hAnsi="宋体" w:eastAsia="宋体" w:cs="宋体"/>
          <w:b w:val="0"/>
          <w:color w:val="000000"/>
          <w:sz w:val="24"/>
        </w:rPr>
        <w:t xml:space="preserve"> 202210956187.7</w:t>
      </w:r>
    </w:p>
    <w:p>
      <w:pPr>
        <w:ind w:firstLine="420"/>
      </w:pPr>
      <w:r>
        <w:rPr>
          <w:rFonts w:ascii="宋体" w:hAnsi="宋体" w:eastAsia="宋体" w:cs="宋体"/>
          <w:b/>
          <w:color w:val="000000"/>
          <w:sz w:val="24"/>
        </w:rPr>
        <w:t>发明创造名称：</w:t>
      </w:r>
      <w:r>
        <w:rPr>
          <w:rFonts w:ascii="宋体" w:hAnsi="宋体" w:eastAsia="宋体" w:cs="宋体"/>
          <w:b w:val="0"/>
          <w:color w:val="000000"/>
          <w:sz w:val="24"/>
        </w:rPr>
        <w:t xml:space="preserve"> 一种根据用电峰值调整充放电的方法及装置</w:t>
      </w:r>
    </w:p>
    <w:p>
      <w:pPr>
        <w:ind w:firstLine="420"/>
      </w:pPr>
      <w:r>
        <w:rPr>
          <w:rFonts w:ascii="宋体" w:hAnsi="宋体" w:eastAsia="宋体" w:cs="宋体"/>
          <w:b/>
          <w:color w:val="000000"/>
          <w:sz w:val="24"/>
        </w:rPr>
        <w:t>申请人：</w:t>
      </w:r>
      <w:r>
        <w:rPr>
          <w:rFonts w:ascii="宋体" w:hAnsi="宋体" w:eastAsia="宋体" w:cs="宋体"/>
          <w:b w:val="0"/>
          <w:color w:val="000000"/>
          <w:sz w:val="24"/>
        </w:rPr>
        <w:t xml:space="preserve"> 湖南喜宝达信息科技有限公司</w:t>
      </w:r>
    </w:p>
    <w:p>
      <w:pPr>
        <w:ind w:firstLine="420"/>
      </w:pPr>
      <w:r>
        <w:rPr>
          <w:rFonts w:ascii="宋体" w:hAnsi="宋体" w:eastAsia="宋体" w:cs="宋体"/>
          <w:b/>
          <w:color w:val="000000"/>
          <w:sz w:val="24"/>
        </w:rPr>
        <w:t>代理机构：</w:t>
      </w:r>
      <w:r>
        <w:rPr>
          <w:rFonts w:ascii="宋体" w:hAnsi="宋体" w:eastAsia="宋体" w:cs="宋体"/>
          <w:b w:val="0"/>
          <w:color w:val="000000"/>
          <w:sz w:val="24"/>
        </w:rPr>
        <w:t xml:space="preserve"> 长沙知行亦创知识产权代理事务所（普通合伙）</w:t>
      </w:r>
    </w:p>
    <w:p>
      <w:pPr>
        <w:ind w:firstLine="420"/>
      </w:pPr>
      <w:r>
        <w:rPr>
          <w:rFonts w:ascii="宋体" w:hAnsi="宋体" w:eastAsia="宋体" w:cs="宋体"/>
          <w:b/>
          <w:color w:val="000000"/>
          <w:sz w:val="24"/>
        </w:rPr>
        <w:t>代理师：</w:t>
      </w:r>
      <w:r>
        <w:rPr>
          <w:rFonts w:ascii="宋体" w:hAnsi="宋体" w:eastAsia="宋体" w:cs="宋体"/>
          <w:b w:val="0"/>
          <w:color w:val="000000"/>
          <w:sz w:val="24"/>
        </w:rPr>
        <w:t xml:space="preserve"> 李杰</w:t>
      </w:r>
    </w:p>
    <w:p>
      <w:pPr>
        <w:ind w:firstLine="420"/>
      </w:pPr>
      <w:r>
        <w:rPr>
          <w:rFonts w:ascii="宋体" w:hAnsi="宋体" w:eastAsia="宋体" w:cs="宋体"/>
          <w:b w:val="0"/>
          <w:color w:val="000000"/>
          <w:sz w:val="24"/>
        </w:rPr>
        <w:t>尊敬的审查员：</w:t>
      </w:r>
    </w:p>
    <w:p>
      <w:pPr>
        <w:ind w:firstLine="420"/>
      </w:pPr>
      <w:r>
        <w:rPr>
          <w:rFonts w:ascii="宋体" w:hAnsi="宋体" w:eastAsia="宋体" w:cs="宋体"/>
          <w:b w:val="0"/>
          <w:color w:val="000000"/>
          <w:sz w:val="24"/>
        </w:rPr>
        <w:t>申请人收到国家知识产权局于2026年6月12日发出的第一次审查意见通知书（发文序号：2026061200064010，申请号：202210956187.7）。申请人已认真研究该通知书正文以及对比文件1（CN113193582A）、对比文件2（CN113904355A）。</w:t>
      </w:r>
    </w:p>
    <w:p>
      <w:pPr>
        <w:ind w:firstLine="420"/>
      </w:pPr>
      <w:r>
        <w:rPr>
          <w:rFonts w:ascii="宋体" w:hAnsi="宋体" w:eastAsia="宋体" w:cs="宋体"/>
          <w:b w:val="0"/>
          <w:color w:val="000000"/>
          <w:sz w:val="24"/>
        </w:rPr>
        <w:t>为克服通知书指出的问题，申请人按照通知书的要求对权利要求书进行了修改。修改符合专利法第33条的规定，未超出原说明书和权利要求书记载的范围，也符合专利法实施细则第57条第3款的规定。修改后的权利要求书共7项。申请人结合修改文本陈述意见如下。</w:t>
      </w:r>
    </w:p>
    <w:p>
      <w:pPr>
        <w:spacing w:before="240" w:after="120"/>
        <w:ind w:firstLine="0"/>
      </w:pPr>
      <w:r>
        <w:rPr>
          <w:rFonts w:ascii="黑体" w:hAnsi="黑体" w:eastAsia="黑体" w:cs="黑体"/>
          <w:b/>
          <w:color w:val="000000"/>
          <w:sz w:val="28"/>
        </w:rPr>
        <w:t>一、修改说明</w:t>
      </w:r>
    </w:p>
    <w:p>
      <w:pPr>
        <w:ind w:firstLine="420"/>
      </w:pPr>
      <w:r>
        <w:rPr>
          <w:rFonts w:ascii="宋体" w:hAnsi="宋体" w:eastAsia="宋体" w:cs="宋体"/>
          <w:b w:val="0"/>
          <w:color w:val="000000"/>
          <w:sz w:val="24"/>
        </w:rPr>
        <w:t>本次修改仅将原权利要求2、原权利要求8和原权利要求9已经记载的技术特征补入独立权利要求1，并删除已被吸收的上述三项从属权利要求，对其余权利要求的编号和引用关系作适应性调整。未引入原说明书和权利要求书未记载的内容。</w:t>
      </w:r>
    </w:p>
    <w:p>
      <w:pPr>
        <w:ind w:firstLine="420"/>
      </w:pPr>
      <w:r>
        <w:rPr>
          <w:rFonts w:ascii="宋体" w:hAnsi="宋体" w:eastAsia="宋体" w:cs="宋体"/>
          <w:b w:val="0"/>
          <w:color w:val="000000"/>
          <w:sz w:val="24"/>
        </w:rPr>
        <w:t>具体为：</w:t>
      </w:r>
    </w:p>
    <w:p>
      <w:pPr>
        <w:ind w:left="420" w:hanging="283"/>
      </w:pPr>
      <w:r>
        <w:rPr>
          <w:rFonts w:ascii="宋体" w:hAnsi="宋体" w:eastAsia="宋体" w:cs="宋体"/>
          <w:b w:val="0"/>
          <w:color w:val="000000"/>
          <w:sz w:val="24"/>
        </w:rPr>
        <w:t>1. 将原权利要求2记载的计算公式补入权利要求1。原权利要求2记载：“所述差价率＝（高峰段电价－实时电价）/高峰段电价×100%，所述耗损率＝逆变器转换效率×电瓶转化率。”相同内容见原说明书第[0012]段、第[0035]段。</w:t>
      </w:r>
    </w:p>
    <w:p>
      <w:pPr>
        <w:ind w:left="420" w:hanging="283"/>
      </w:pPr>
      <w:r>
        <w:rPr>
          <w:rFonts w:ascii="宋体" w:hAnsi="宋体" w:eastAsia="宋体" w:cs="宋体"/>
          <w:b w:val="0"/>
          <w:color w:val="000000"/>
          <w:sz w:val="24"/>
        </w:rPr>
        <w:t>2. 将原权利要求8、9记载的报警特征补入权利要求1。原权利要求8记载：“在低谷段充电时，差价率仍小于耗损率时，警报器发出警报。”原权利要求9记载：“所述警报包括提醒逆变器故障、提醒电瓶故障。”相同内容见原说明书第[0018]段、第[0019]段、第[0041]段、第[0042]段和第[0044]段。</w:t>
      </w:r>
    </w:p>
    <w:p>
      <w:pPr>
        <w:ind w:left="420" w:hanging="283"/>
      </w:pPr>
      <w:r>
        <w:rPr>
          <w:rFonts w:ascii="宋体" w:hAnsi="宋体" w:eastAsia="宋体" w:cs="宋体"/>
          <w:b w:val="0"/>
          <w:color w:val="000000"/>
          <w:sz w:val="24"/>
        </w:rPr>
        <w:t>3. 删除原权利要求2、8、9。原权利要求3至7顺次改为新权利要求2至6，仍直接引用权利要求1。原权利要求10改为新权利要求7，引用关系改为权利要求1至6任一项。</w:t>
      </w:r>
    </w:p>
    <w:p>
      <w:pPr>
        <w:ind w:firstLine="420"/>
      </w:pPr>
      <w:r>
        <w:rPr>
          <w:rFonts w:ascii="宋体" w:hAnsi="宋体" w:eastAsia="宋体" w:cs="宋体"/>
          <w:b w:val="0"/>
          <w:color w:val="000000"/>
          <w:sz w:val="24"/>
        </w:rPr>
        <w:t>修改后的权利要求1为：</w:t>
      </w:r>
    </w:p>
    <w:p>
      <w:pPr>
        <w:spacing w:after="60"/>
        <w:ind w:left="425" w:firstLine="0"/>
      </w:pPr>
      <w:r>
        <w:rPr>
          <w:rFonts w:ascii="宋体" w:hAnsi="宋体" w:eastAsia="宋体" w:cs="宋体"/>
          <w:b w:val="0"/>
          <w:color w:val="000000"/>
          <w:sz w:val="24"/>
        </w:rPr>
        <w:t>1. 一种根据用电峰值调整充放电的方法，其特征在于，包括以下步骤：</w:t>
      </w:r>
    </w:p>
    <w:p>
      <w:pPr>
        <w:spacing w:after="60"/>
        <w:ind w:left="425" w:firstLine="0"/>
      </w:pPr>
      <w:r>
        <w:rPr>
          <w:rFonts w:ascii="宋体" w:hAnsi="宋体" w:eastAsia="宋体" w:cs="宋体"/>
          <w:b w:val="0"/>
          <w:color w:val="000000"/>
          <w:sz w:val="24"/>
        </w:rPr>
        <w:t>（a）电价获取单元获取电网电价，电网电价从低到高分时段包括低谷段、平时段、高峰段；</w:t>
      </w:r>
    </w:p>
    <w:p>
      <w:pPr>
        <w:spacing w:after="60"/>
        <w:ind w:left="425" w:firstLine="0"/>
      </w:pPr>
      <w:r>
        <w:rPr>
          <w:rFonts w:ascii="宋体" w:hAnsi="宋体" w:eastAsia="宋体" w:cs="宋体"/>
          <w:b w:val="0"/>
          <w:color w:val="000000"/>
          <w:sz w:val="24"/>
        </w:rPr>
        <w:t>（b）参数获取计算单元根据实时电价和高峰段电价得出差价率，所述差价率＝（高峰段电价－实时电价）/高峰段电价×100%；</w:t>
      </w:r>
    </w:p>
    <w:p>
      <w:pPr>
        <w:spacing w:after="60"/>
        <w:ind w:left="425" w:firstLine="0"/>
      </w:pPr>
      <w:r>
        <w:rPr>
          <w:rFonts w:ascii="宋体" w:hAnsi="宋体" w:eastAsia="宋体" w:cs="宋体"/>
          <w:b w:val="0"/>
          <w:color w:val="000000"/>
          <w:sz w:val="24"/>
        </w:rPr>
        <w:t>（c）参数获取计算单元根据逆变器转换效率和电瓶转化率得出电力的耗损率，所述耗损率＝逆变器转换效率×电瓶转化率；</w:t>
      </w:r>
    </w:p>
    <w:p>
      <w:pPr>
        <w:spacing w:after="60"/>
        <w:ind w:left="425" w:firstLine="0"/>
      </w:pPr>
      <w:r>
        <w:rPr>
          <w:rFonts w:ascii="宋体" w:hAnsi="宋体" w:eastAsia="宋体" w:cs="宋体"/>
          <w:b w:val="0"/>
          <w:color w:val="000000"/>
          <w:sz w:val="24"/>
        </w:rPr>
        <w:t>（d）参数获取计算单元将差价率和耗损率进行对比，当差价率大于耗损率时控制器控制逆变器对电瓶充电，当差价率小于耗损率时控制器控制逆变器停止对电瓶充电；</w:t>
      </w:r>
    </w:p>
    <w:p>
      <w:pPr>
        <w:spacing w:after="60"/>
        <w:ind w:left="425" w:firstLine="0"/>
      </w:pPr>
      <w:r>
        <w:rPr>
          <w:rFonts w:ascii="宋体" w:hAnsi="宋体" w:eastAsia="宋体" w:cs="宋体"/>
          <w:b w:val="0"/>
          <w:color w:val="000000"/>
          <w:sz w:val="24"/>
        </w:rPr>
        <w:t>（e）电瓶通过逆变器对用电设备供电；</w:t>
      </w:r>
    </w:p>
    <w:p>
      <w:pPr>
        <w:spacing w:after="60"/>
        <w:ind w:left="425" w:firstLine="0"/>
      </w:pPr>
      <w:r>
        <w:rPr>
          <w:rFonts w:ascii="宋体" w:hAnsi="宋体" w:eastAsia="宋体" w:cs="宋体"/>
          <w:b w:val="0"/>
          <w:color w:val="000000"/>
          <w:sz w:val="24"/>
        </w:rPr>
        <w:t>（f）在低谷段充电时，差价率仍小于耗损率时，警报器发出警报，所述警报包括提醒逆变器故障、提醒电瓶故障。</w:t>
      </w:r>
    </w:p>
    <w:p>
      <w:pPr>
        <w:ind w:firstLine="420"/>
      </w:pPr>
      <w:r>
        <w:rPr>
          <w:rFonts w:ascii="宋体" w:hAnsi="宋体" w:eastAsia="宋体" w:cs="宋体"/>
          <w:b w:val="0"/>
          <w:color w:val="000000"/>
          <w:sz w:val="24"/>
        </w:rPr>
        <w:t>权利要求全文见附件《权利要求书替换页》。</w:t>
      </w:r>
    </w:p>
    <w:p>
      <w:pPr>
        <w:spacing w:before="240" w:after="120"/>
        <w:ind w:firstLine="0"/>
      </w:pPr>
      <w:r>
        <w:rPr>
          <w:rFonts w:ascii="黑体" w:hAnsi="黑体" w:eastAsia="黑体" w:cs="黑体"/>
          <w:b/>
          <w:color w:val="000000"/>
          <w:sz w:val="28"/>
        </w:rPr>
        <w:t>二、修改后的权利要求1具备专利法第22条第3款规定的创造性</w:t>
      </w:r>
    </w:p>
    <w:p>
      <w:pPr>
        <w:spacing w:before="200" w:after="80"/>
        <w:ind w:firstLine="0"/>
      </w:pPr>
      <w:r>
        <w:rPr>
          <w:rFonts w:ascii="黑体" w:hAnsi="黑体" w:eastAsia="黑体" w:cs="黑体"/>
          <w:b/>
          <w:color w:val="000000"/>
          <w:sz w:val="24"/>
        </w:rPr>
        <w:t>（一）对比文件实际公开的内容</w:t>
      </w:r>
    </w:p>
    <w:p>
      <w:pPr>
        <w:ind w:firstLine="0"/>
      </w:pPr>
      <w:r>
        <w:rPr>
          <w:rFonts w:ascii="宋体" w:hAnsi="宋体" w:eastAsia="宋体" w:cs="宋体"/>
          <w:b/>
          <w:color w:val="000000"/>
          <w:sz w:val="24"/>
        </w:rPr>
        <w:t>1. 对比文件1公开的是按时段、电池电压和充放电支持数进行的充放电控制，不是按差价率与耗损率的比较结果控制逆变器，也不具有相应的故障报警。</w:t>
      </w:r>
    </w:p>
    <w:p>
      <w:pPr>
        <w:ind w:firstLine="420"/>
      </w:pPr>
      <w:r>
        <w:rPr>
          <w:rFonts w:ascii="宋体" w:hAnsi="宋体" w:eastAsia="宋体" w:cs="宋体"/>
          <w:b w:val="0"/>
          <w:color w:val="000000"/>
          <w:sz w:val="24"/>
        </w:rPr>
        <w:t>对比文件1涉及一种高效率充放电储能控制方法及系统，其要解决的问题是：储能电池数量多、单体耗电量存在差异，充放电时难以均衡，容易过充、过放或充放电不充分，从而损坏电池或缩短寿命（说明书第[0002]段、第[0003]段）。其技术手段是：</w:t>
      </w:r>
    </w:p>
    <w:p>
      <w:pPr>
        <w:ind w:left="420" w:hanging="210"/>
      </w:pPr>
      <w:r>
        <w:rPr>
          <w:rFonts w:ascii="宋体" w:hAnsi="宋体" w:eastAsia="宋体" w:cs="宋体"/>
          <w:b w:val="0"/>
          <w:color w:val="000000"/>
          <w:sz w:val="24"/>
        </w:rPr>
        <w:t>• 确定当前时段为低谷电价时段、平段电价时段或峰值电价时段（说明书第[0023]段、第[0024]段）；</w:t>
      </w:r>
    </w:p>
    <w:p>
      <w:pPr>
        <w:ind w:left="420" w:hanging="210"/>
      </w:pPr>
      <w:r>
        <w:rPr>
          <w:rFonts w:ascii="宋体" w:hAnsi="宋体" w:eastAsia="宋体" w:cs="宋体"/>
          <w:b w:val="0"/>
          <w:color w:val="000000"/>
          <w:sz w:val="24"/>
        </w:rPr>
        <w:t>• 低谷电价时段由电网向负载供电，并在储能电池电压小于充电电压时由电网对储能电池充电（说明书第[0025]段、第[0026]段）；</w:t>
      </w:r>
    </w:p>
    <w:p>
      <w:pPr>
        <w:ind w:left="420" w:hanging="210"/>
      </w:pPr>
      <w:r>
        <w:rPr>
          <w:rFonts w:ascii="宋体" w:hAnsi="宋体" w:eastAsia="宋体" w:cs="宋体"/>
          <w:b w:val="0"/>
          <w:color w:val="000000"/>
          <w:sz w:val="24"/>
        </w:rPr>
        <w:t>• 平段电价时段在负载用电量小、电池电压小于充电电压且充电支持数大于预设充电支持数时充电，负载用电量大时由能量管理系统做电量均衡（说明书第[0027]段至第[0029]段）；</w:t>
      </w:r>
    </w:p>
    <w:p>
      <w:pPr>
        <w:ind w:left="420" w:hanging="210"/>
      </w:pPr>
      <w:r>
        <w:rPr>
          <w:rFonts w:ascii="宋体" w:hAnsi="宋体" w:eastAsia="宋体" w:cs="宋体"/>
          <w:b w:val="0"/>
          <w:color w:val="000000"/>
          <w:sz w:val="24"/>
        </w:rPr>
        <w:t>• 峰值电价时段在电池电压大于放电电压且放电支持数大于预设放电支持数时由储能电池向负载供电，储能电池不能消纳时将负载接回电网（说明书第[0030]段至第[0032]段）；</w:t>
      </w:r>
    </w:p>
    <w:p>
      <w:pPr>
        <w:ind w:left="420" w:hanging="210"/>
      </w:pPr>
      <w:r>
        <w:rPr>
          <w:rFonts w:ascii="宋体" w:hAnsi="宋体" w:eastAsia="宋体" w:cs="宋体"/>
          <w:b w:val="0"/>
          <w:color w:val="000000"/>
          <w:sz w:val="24"/>
        </w:rPr>
        <w:t>• 充放电前还检测电池簇总压差，总压差过大则报警并关闭故障电池簇或进入维护均衡（权利要求5，说明书第[0041]段）。</w:t>
      </w:r>
    </w:p>
    <w:p>
      <w:pPr>
        <w:ind w:firstLine="420"/>
      </w:pPr>
      <w:r>
        <w:rPr>
          <w:rFonts w:ascii="宋体" w:hAnsi="宋体" w:eastAsia="宋体" w:cs="宋体"/>
          <w:b w:val="0"/>
          <w:color w:val="000000"/>
          <w:sz w:val="24"/>
        </w:rPr>
        <w:t>对比文件1第[0048]段记载：“系统能够结合日内峰、谷、平电价机制与储能电池系统全寿命周期内的度电成本，确定最优化的峰谷平充放电策略，实现经济性最佳。”该段同时记载系统可以按照用电需求提前做电池电量管理。</w:t>
      </w:r>
    </w:p>
    <w:p>
      <w:pPr>
        <w:ind w:firstLine="420"/>
      </w:pPr>
      <w:r>
        <w:rPr>
          <w:rFonts w:ascii="宋体" w:hAnsi="宋体" w:eastAsia="宋体" w:cs="宋体"/>
          <w:b w:val="0"/>
          <w:color w:val="000000"/>
          <w:sz w:val="24"/>
        </w:rPr>
        <w:t>对比文件1没有记载下列内容：根据实时电价和高峰段电价计算差价率；根据逆变器转换效率和电瓶转化率计算耗损率；将差价率与耗损率进行比较，并按比较结果控制逆变器对电瓶充电或停止充电；在低谷段充电过程中差价率仍小于耗损率时发出警报，且该警报用于提醒逆变器故障和电瓶故障。</w:t>
      </w:r>
    </w:p>
    <w:p>
      <w:pPr>
        <w:ind w:firstLine="0"/>
      </w:pPr>
      <w:r>
        <w:rPr>
          <w:rFonts w:ascii="宋体" w:hAnsi="宋体" w:eastAsia="宋体" w:cs="宋体"/>
          <w:b/>
          <w:color w:val="000000"/>
          <w:sz w:val="24"/>
        </w:rPr>
        <w:t>2. 对比文件2公开的是储能参与峰谷套利的经济效益评估，输出的是货币收益，不是充放电控制指令，也不是设备故障警报。</w:t>
      </w:r>
    </w:p>
    <w:p>
      <w:pPr>
        <w:ind w:firstLine="420"/>
      </w:pPr>
      <w:r>
        <w:rPr>
          <w:rFonts w:ascii="宋体" w:hAnsi="宋体" w:eastAsia="宋体" w:cs="宋体"/>
          <w:b w:val="0"/>
          <w:color w:val="000000"/>
          <w:sz w:val="24"/>
        </w:rPr>
        <w:t>对比文件2的主题是“储能峰谷套利经济效益评估方法、系统、装置及存储介质”。其背景技术指出，制定运行方式之前需要对经济效益进行评估；已有评估结合电价分析收益，但没有全面考虑备用容量和电池运行损耗（说明书第[0002]段）。其方法包括：获取地区电网电价数据；获取储能容量、储能充放电效率、运行区间、运行天数、日套利次数、备用容量百分比和年损耗率，计算年收益；再基于年收益计算运行期总收益（权利要求1，说明书第[0041]段至第[0055]段）。</w:t>
      </w:r>
    </w:p>
    <w:p>
      <w:pPr>
        <w:ind w:firstLine="420"/>
      </w:pPr>
      <w:r>
        <w:rPr>
          <w:rFonts w:ascii="宋体" w:hAnsi="宋体" w:eastAsia="宋体" w:cs="宋体"/>
          <w:b w:val="0"/>
          <w:color w:val="000000"/>
          <w:sz w:val="24"/>
        </w:rPr>
        <w:t>年收益公式为：</w:t>
      </w:r>
    </w:p>
    <w:p>
      <w:pPr>
        <w:ind w:firstLine="420"/>
      </w:pPr>
      <w:r>
        <w:rPr>
          <w:rFonts w:ascii="宋体" w:hAnsi="宋体" w:eastAsia="宋体" w:cs="宋体"/>
          <w:b w:val="0"/>
          <w:color w:val="000000"/>
          <w:sz w:val="24"/>
        </w:rPr>
        <w:t>Fp,N＝（fp,放－fp,充）×N天</w:t>
      </w:r>
    </w:p>
    <w:p>
      <w:pPr>
        <w:ind w:firstLine="420"/>
      </w:pPr>
      <w:r>
        <w:rPr>
          <w:rFonts w:ascii="宋体" w:hAnsi="宋体" w:eastAsia="宋体" w:cs="宋体"/>
          <w:b w:val="0"/>
          <w:color w:val="000000"/>
          <w:sz w:val="24"/>
        </w:rPr>
        <w:t>fp,放＝p放×（SOCmax－SOCmin）×CES×（1－γ）×η放×10⁻¹</w:t>
      </w:r>
    </w:p>
    <w:p>
      <w:pPr>
        <w:ind w:firstLine="420"/>
      </w:pPr>
      <w:r>
        <w:rPr>
          <w:rFonts w:ascii="宋体" w:hAnsi="宋体" w:eastAsia="宋体" w:cs="宋体"/>
          <w:b w:val="0"/>
          <w:color w:val="000000"/>
          <w:sz w:val="24"/>
        </w:rPr>
        <w:t>fp,充＝p充×（SOCmax－SOCmin）×（1－γ）×CES×10⁻¹／η充</w:t>
      </w:r>
    </w:p>
    <w:p>
      <w:pPr>
        <w:ind w:firstLine="420"/>
      </w:pPr>
      <w:r>
        <w:rPr>
          <w:rFonts w:ascii="宋体" w:hAnsi="宋体" w:eastAsia="宋体" w:cs="宋体"/>
          <w:b w:val="0"/>
          <w:color w:val="000000"/>
          <w:sz w:val="24"/>
        </w:rPr>
        <w:t>其中，fp,放和fp,充的单位为万元，p放、p充为放电电价和充电电价，CES为额定容量，γ为备用容量比，η充、η放为充电效率和放电效率，α为年容量损耗率并用于运行期总收益（权利要求2、权利要求3，说明书第[0046]段至第[0055]段）。实施例针对的是变电站侧储能（10MW／20MWh）的多年期收益测算（说明书第[0056]段至第[0064]段）。</w:t>
      </w:r>
    </w:p>
    <w:p>
      <w:pPr>
        <w:ind w:firstLine="420"/>
      </w:pPr>
      <w:r>
        <w:rPr>
          <w:rFonts w:ascii="宋体" w:hAnsi="宋体" w:eastAsia="宋体" w:cs="宋体"/>
          <w:b w:val="0"/>
          <w:color w:val="000000"/>
          <w:sz w:val="24"/>
        </w:rPr>
        <w:t>对比文件2的全部步骤止于得出年收益和总收益。其中不存在逆变器，不存在对充电回路的启停控制，不存在警报，也不存在“差价率”和“耗损率”这两个量及其比较。</w:t>
      </w:r>
    </w:p>
    <w:p>
      <w:pPr>
        <w:spacing w:before="200" w:after="80"/>
        <w:ind w:firstLine="0"/>
      </w:pPr>
      <w:r>
        <w:rPr>
          <w:rFonts w:ascii="黑体" w:hAnsi="黑体" w:eastAsia="黑体" w:cs="黑体"/>
          <w:b/>
          <w:color w:val="000000"/>
          <w:sz w:val="24"/>
        </w:rPr>
        <w:t>（二）区别技术特征以及权利要求1实际解决的技术问题</w:t>
      </w:r>
    </w:p>
    <w:p>
      <w:pPr>
        <w:ind w:firstLine="420"/>
      </w:pPr>
      <w:r>
        <w:rPr>
          <w:rFonts w:ascii="宋体" w:hAnsi="宋体" w:eastAsia="宋体" w:cs="宋体"/>
          <w:b w:val="0"/>
          <w:color w:val="000000"/>
          <w:sz w:val="24"/>
        </w:rPr>
        <w:t>以对比文件1作为最接近的现有技术，修改后的权利要求1与对比文件1的区别至少包括：</w:t>
      </w:r>
    </w:p>
    <w:p>
      <w:pPr>
        <w:ind w:firstLine="420"/>
      </w:pPr>
      <w:r>
        <w:rPr>
          <w:rFonts w:ascii="宋体" w:hAnsi="宋体" w:eastAsia="宋体" w:cs="宋体"/>
          <w:b w:val="0"/>
          <w:color w:val="000000"/>
          <w:sz w:val="24"/>
        </w:rPr>
        <w:t>区别特征A：参数获取计算单元按下式得出差价率，差价率＝（高峰段电价－实时电价）／高峰段电价×100%。</w:t>
      </w:r>
    </w:p>
    <w:p>
      <w:pPr>
        <w:ind w:firstLine="420"/>
      </w:pPr>
      <w:r>
        <w:rPr>
          <w:rFonts w:ascii="宋体" w:hAnsi="宋体" w:eastAsia="宋体" w:cs="宋体"/>
          <w:b w:val="0"/>
          <w:color w:val="000000"/>
          <w:sz w:val="24"/>
        </w:rPr>
        <w:t>区别特征B：参数获取计算单元按下式得出电力的耗损率，耗损率＝逆变器转换效率×电瓶转化率。</w:t>
      </w:r>
    </w:p>
    <w:p>
      <w:pPr>
        <w:ind w:firstLine="420"/>
      </w:pPr>
      <w:r>
        <w:rPr>
          <w:rFonts w:ascii="宋体" w:hAnsi="宋体" w:eastAsia="宋体" w:cs="宋体"/>
          <w:b w:val="0"/>
          <w:color w:val="000000"/>
          <w:sz w:val="24"/>
        </w:rPr>
        <w:t>区别特征C：将差价率与耗损率对比，差价率大于耗损率时，控制器控制逆变器对电瓶充电；差价率小于耗损率时，控制器控制逆变器停止对电瓶充电。</w:t>
      </w:r>
    </w:p>
    <w:p>
      <w:pPr>
        <w:ind w:firstLine="420"/>
      </w:pPr>
      <w:r>
        <w:rPr>
          <w:rFonts w:ascii="宋体" w:hAnsi="宋体" w:eastAsia="宋体" w:cs="宋体"/>
          <w:b w:val="0"/>
          <w:color w:val="000000"/>
          <w:sz w:val="24"/>
        </w:rPr>
        <w:t>区别特征D：在低谷段充电时，差价率仍小于耗损率的，警报器发出警报，警报包括提醒逆变器故障、提醒电瓶故障。</w:t>
      </w:r>
    </w:p>
    <w:p>
      <w:pPr>
        <w:ind w:firstLine="420"/>
      </w:pPr>
      <w:r>
        <w:rPr>
          <w:rFonts w:ascii="宋体" w:hAnsi="宋体" w:eastAsia="宋体" w:cs="宋体"/>
          <w:b w:val="0"/>
          <w:color w:val="000000"/>
          <w:sz w:val="24"/>
        </w:rPr>
        <w:t>上述区别特征在本发明中产生的技术效果，已记载于原说明书第[0022]段和第[0044]段：以电价时段以及差价率与耗损率的大小对比作为是否充电的根据，从而把逆变器和电瓶的耗损纳入充电控制；在低谷段充电时如果差价率仍然小于耗损率，则据此识别逆变器和电瓶可能发生故障、耗损率变高，由警报器提醒用户检修或更换逆变器或者电瓶。</w:t>
      </w:r>
    </w:p>
    <w:p>
      <w:pPr>
        <w:ind w:firstLine="420"/>
      </w:pPr>
      <w:r>
        <w:rPr>
          <w:rFonts w:ascii="宋体" w:hAnsi="宋体" w:eastAsia="宋体" w:cs="宋体"/>
          <w:b w:val="0"/>
          <w:color w:val="000000"/>
          <w:sz w:val="24"/>
        </w:rPr>
        <w:t>据此，权利要求1实际解决的技术问题是：在电瓶经逆变器充放电的控制过程中，如何利用实时电价、高峰段电价、逆变器转换效率和电瓶转化率形成充电启停判据，并在低谷段该判据仍然表现为差价率小于耗损率时，对逆变器故障和电瓶故障进行报警。</w:t>
      </w:r>
    </w:p>
    <w:p>
      <w:pPr>
        <w:ind w:firstLine="420"/>
      </w:pPr>
      <w:r>
        <w:rPr>
          <w:rFonts w:ascii="宋体" w:hAnsi="宋体" w:eastAsia="宋体" w:cs="宋体"/>
          <w:b w:val="0"/>
          <w:color w:val="000000"/>
          <w:sz w:val="24"/>
        </w:rPr>
        <w:t>审查意见将技术问题确定为“如何量化评估峰谷电价套利过程中的经济性，以确定是否进行充电”。该确定方式把“量化评估经济性并据此决定是否充电”这一区别特征所要采取的手段写进了技术问题，使技术问题直接指向对比文件2的评估主题，与区别特征在本发明中实际产生的控制效果和故障报警效果不相匹配。《专利审查指南》第二部分第四章第3.2.1.1节规定，根据最接近的现有技术重新确定的技术问题，应当与区别特征在发明中所产生的技术效果相匹配，不应当包含对区别特征本身的指引。请求审查员根据上述区别特征A至D及其在原说明书第[0022]段、第[0044]段中的效果，重新确定技术问题。</w:t>
      </w:r>
    </w:p>
    <w:p>
      <w:pPr>
        <w:spacing w:before="200" w:after="80"/>
        <w:ind w:firstLine="0"/>
      </w:pPr>
      <w:r>
        <w:rPr>
          <w:rFonts w:ascii="黑体" w:hAnsi="黑体" w:eastAsia="黑体" w:cs="黑体"/>
          <w:b/>
          <w:color w:val="000000"/>
          <w:sz w:val="24"/>
        </w:rPr>
        <w:t>（三）对比文件2没有公开区别特征A至D，其技术手段在对比文件2中的作用与在本发明中的作用不同</w:t>
      </w:r>
    </w:p>
    <w:p>
      <w:pPr>
        <w:ind w:firstLine="420"/>
      </w:pPr>
      <w:r>
        <w:rPr>
          <w:rFonts w:ascii="宋体" w:hAnsi="宋体" w:eastAsia="宋体" w:cs="宋体"/>
          <w:b w:val="0"/>
          <w:color w:val="000000"/>
          <w:sz w:val="24"/>
        </w:rPr>
        <w:t>审查意见认为，对比文件2给出的收益公式隐含了“只有当电价差足以覆盖效率损耗时套利才有正收益”，因而相当于权利要求1“差价率大于耗损率时才充电”的判断逻辑，并认为将电价差写成相对比例、将损耗写成效率乘积属于常规数学变换。该认定与对比文件2记载的内容不符，理由如下。</w:t>
      </w:r>
    </w:p>
    <w:p>
      <w:pPr>
        <w:ind w:firstLine="0"/>
      </w:pPr>
      <w:r>
        <w:rPr>
          <w:rFonts w:ascii="宋体" w:hAnsi="宋体" w:eastAsia="宋体" w:cs="宋体"/>
          <w:b/>
          <w:color w:val="000000"/>
          <w:sz w:val="24"/>
        </w:rPr>
        <w:t>第一，对比文件2的作用是测算货币收益，不是控制逆变器，也不是诊断设备故障。</w:t>
      </w:r>
    </w:p>
    <w:p>
      <w:pPr>
        <w:ind w:firstLine="420"/>
      </w:pPr>
      <w:r>
        <w:rPr>
          <w:rFonts w:ascii="宋体" w:hAnsi="宋体" w:eastAsia="宋体" w:cs="宋体"/>
          <w:b w:val="0"/>
          <w:color w:val="000000"/>
          <w:sz w:val="24"/>
        </w:rPr>
        <w:t>《专利审查指南》第二部分第四章第3.2.1.1节规定，另一份对比文件披露的技术手段能够构成技术启示，前提是该技术手段在该对比文件中所起的作用，与区别特征在要求保护的发明中为解决重新确定的技术问题所起的作用相同。</w:t>
      </w:r>
    </w:p>
    <w:p>
      <w:pPr>
        <w:ind w:firstLine="420"/>
      </w:pPr>
      <w:r>
        <w:rPr>
          <w:rFonts w:ascii="宋体" w:hAnsi="宋体" w:eastAsia="宋体" w:cs="宋体"/>
          <w:b w:val="0"/>
          <w:color w:val="000000"/>
          <w:sz w:val="24"/>
        </w:rPr>
        <w:t>对比文件2中，电价和充放电效率的作用是代入年收益公式，得到以万元计的fp,放、fp,充、Fp,N和运行期总收益Fp，供对峰谷套利经济效益作评估（说明书第[0034]段、第[0082]段、第[0083]段）。评估结果不回写为任何开关量，不作用到变流器或逆变器，也不触发故障报警。</w:t>
      </w:r>
    </w:p>
    <w:p>
      <w:pPr>
        <w:ind w:firstLine="420"/>
      </w:pPr>
      <w:r>
        <w:rPr>
          <w:rFonts w:ascii="宋体" w:hAnsi="宋体" w:eastAsia="宋体" w:cs="宋体"/>
          <w:b w:val="0"/>
          <w:color w:val="000000"/>
          <w:sz w:val="24"/>
        </w:rPr>
        <w:t>区别特征A至C在本发明中的作用，是生成一项针对逆变器的充电指令或停止充电指令。区别特征D的作用，是在低谷段识别逆变器故障和电瓶故障并报警。作用不同，对比文件2不能为将上述特征应用到对比文件1以解决本发明的技术问题提供技术启示。</w:t>
      </w:r>
    </w:p>
    <w:p>
      <w:pPr>
        <w:ind w:firstLine="0"/>
      </w:pPr>
      <w:r>
        <w:rPr>
          <w:rFonts w:ascii="宋体" w:hAnsi="宋体" w:eastAsia="宋体" w:cs="宋体"/>
          <w:b/>
          <w:color w:val="000000"/>
          <w:sz w:val="24"/>
        </w:rPr>
        <w:t>第二，将对比文件2的公式整理之后，得到的数量关系并不是权利要求1的判据，二者不是等价改写。</w:t>
      </w:r>
    </w:p>
    <w:p>
      <w:pPr>
        <w:ind w:firstLine="420"/>
      </w:pPr>
      <w:r>
        <w:rPr>
          <w:rFonts w:ascii="宋体" w:hAnsi="宋体" w:eastAsia="宋体" w:cs="宋体"/>
          <w:b w:val="0"/>
          <w:color w:val="000000"/>
          <w:sz w:val="24"/>
        </w:rPr>
        <w:t>在SOC区间为正、备用容量比小于1的前提下，对比文件2日收益为正，需要fp,放大于fp,充。约去两边共有的正值项之后，得到：</w:t>
      </w:r>
    </w:p>
    <w:p>
      <w:pPr>
        <w:ind w:firstLine="420"/>
      </w:pPr>
      <w:r>
        <w:rPr>
          <w:rFonts w:ascii="宋体" w:hAnsi="宋体" w:eastAsia="宋体" w:cs="宋体"/>
          <w:b w:val="0"/>
          <w:color w:val="000000"/>
          <w:sz w:val="24"/>
        </w:rPr>
        <w:t>p放×η放＞p充／η充</w:t>
      </w:r>
    </w:p>
    <w:p>
      <w:pPr>
        <w:ind w:firstLine="420"/>
      </w:pPr>
      <w:r>
        <w:rPr>
          <w:rFonts w:ascii="宋体" w:hAnsi="宋体" w:eastAsia="宋体" w:cs="宋体"/>
          <w:b w:val="0"/>
          <w:color w:val="000000"/>
          <w:sz w:val="24"/>
        </w:rPr>
        <w:t>进一步整理为：</w:t>
      </w:r>
    </w:p>
    <w:p>
      <w:pPr>
        <w:ind w:firstLine="420"/>
      </w:pPr>
      <w:r>
        <w:rPr>
          <w:rFonts w:ascii="宋体" w:hAnsi="宋体" w:eastAsia="宋体" w:cs="宋体"/>
          <w:b w:val="0"/>
          <w:color w:val="000000"/>
          <w:sz w:val="24"/>
        </w:rPr>
        <w:t>（p放－p充）／p放＞1－η充×η放</w:t>
      </w:r>
    </w:p>
    <w:p>
      <w:pPr>
        <w:ind w:firstLine="420"/>
      </w:pPr>
      <w:r>
        <w:rPr>
          <w:rFonts w:ascii="宋体" w:hAnsi="宋体" w:eastAsia="宋体" w:cs="宋体"/>
          <w:b w:val="0"/>
          <w:color w:val="000000"/>
          <w:sz w:val="24"/>
        </w:rPr>
        <w:t>也就是说，若本领域技术人员对对比文件2作等价整理，右侧出现的是“1减去充电效率与放电效率的乘积”。</w:t>
      </w:r>
    </w:p>
    <w:p>
      <w:pPr>
        <w:ind w:firstLine="420"/>
      </w:pPr>
      <w:r>
        <w:rPr>
          <w:rFonts w:ascii="宋体" w:hAnsi="宋体" w:eastAsia="宋体" w:cs="宋体"/>
          <w:b w:val="0"/>
          <w:color w:val="000000"/>
          <w:sz w:val="24"/>
        </w:rPr>
        <w:t>权利要求1的判据是：</w:t>
      </w:r>
    </w:p>
    <w:p>
      <w:pPr>
        <w:ind w:firstLine="420"/>
      </w:pPr>
      <w:r>
        <w:rPr>
          <w:rFonts w:ascii="宋体" w:hAnsi="宋体" w:eastAsia="宋体" w:cs="宋体"/>
          <w:b w:val="0"/>
          <w:color w:val="000000"/>
          <w:sz w:val="24"/>
        </w:rPr>
        <w:t>（高峰段电价－实时电价）／高峰段电价×100%＞逆变器转换效率×电瓶转化率</w:t>
      </w:r>
    </w:p>
    <w:p>
      <w:pPr>
        <w:ind w:firstLine="420"/>
      </w:pPr>
      <w:r>
        <w:rPr>
          <w:rFonts w:ascii="宋体" w:hAnsi="宋体" w:eastAsia="宋体" w:cs="宋体"/>
          <w:b w:val="0"/>
          <w:color w:val="000000"/>
          <w:sz w:val="24"/>
        </w:rPr>
        <w:t>两侧的构成均不同：</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76" w:lineRule="auto" w:after="40"/>
            </w:pPr>
            <w:r>
              <w:rPr>
                <w:b/>
              </w:rPr>
            </w:r>
            <w:r>
              <w:rPr>
                <w:rFonts w:ascii="宋体" w:hAnsi="宋体" w:eastAsia="宋体" w:cs="宋体"/>
                <w:b/>
                <w:color w:val="000000"/>
                <w:sz w:val="21"/>
              </w:rPr>
              <w:t>对比项目</w:t>
            </w:r>
          </w:p>
        </w:tc>
        <w:tc>
          <w:tcPr>
            <w:tcW w:type="dxa" w:w="2771"/>
          </w:tcPr>
          <w:p>
            <w:pPr>
              <w:spacing w:line="276" w:lineRule="auto" w:after="40"/>
            </w:pPr>
            <w:r>
              <w:rPr>
                <w:b/>
              </w:rPr>
            </w:r>
            <w:r>
              <w:rPr>
                <w:rFonts w:ascii="宋体" w:hAnsi="宋体" w:eastAsia="宋体" w:cs="宋体"/>
                <w:b/>
                <w:color w:val="000000"/>
                <w:sz w:val="21"/>
              </w:rPr>
              <w:t>权利要求1</w:t>
            </w:r>
          </w:p>
        </w:tc>
        <w:tc>
          <w:tcPr>
            <w:tcW w:type="dxa" w:w="2771"/>
          </w:tcPr>
          <w:p>
            <w:pPr>
              <w:spacing w:line="276" w:lineRule="auto" w:after="40"/>
            </w:pPr>
            <w:r>
              <w:rPr>
                <w:b/>
              </w:rPr>
            </w:r>
            <w:r>
              <w:rPr>
                <w:rFonts w:ascii="宋体" w:hAnsi="宋体" w:eastAsia="宋体" w:cs="宋体"/>
                <w:b/>
                <w:color w:val="000000"/>
                <w:sz w:val="21"/>
              </w:rPr>
              <w:t>对比文件2经整理后的正收益条件</w:t>
            </w:r>
          </w:p>
        </w:tc>
      </w:tr>
      <w:tr>
        <w:tc>
          <w:tcPr>
            <w:tcW w:type="dxa" w:w="2771"/>
          </w:tcPr>
          <w:p>
            <w:pPr>
              <w:spacing w:line="276" w:lineRule="auto" w:after="40"/>
            </w:pPr>
            <w:r>
              <w:rPr/>
            </w:r>
            <w:r>
              <w:rPr>
                <w:rFonts w:ascii="宋体" w:hAnsi="宋体" w:eastAsia="宋体" w:cs="宋体"/>
                <w:b w:val="0"/>
                <w:color w:val="000000"/>
                <w:sz w:val="21"/>
              </w:rPr>
              <w:t>左侧电价</w:t>
            </w:r>
          </w:p>
        </w:tc>
        <w:tc>
          <w:tcPr>
            <w:tcW w:type="dxa" w:w="2771"/>
          </w:tcPr>
          <w:p>
            <w:pPr>
              <w:spacing w:line="276" w:lineRule="auto" w:after="40"/>
            </w:pPr>
            <w:r>
              <w:rPr/>
            </w:r>
            <w:r>
              <w:rPr>
                <w:rFonts w:ascii="宋体" w:hAnsi="宋体" w:eastAsia="宋体" w:cs="宋体"/>
                <w:b w:val="0"/>
                <w:color w:val="000000"/>
                <w:sz w:val="21"/>
              </w:rPr>
              <w:t>高峰段电价与实时电价构成的相对差价率</w:t>
            </w:r>
          </w:p>
        </w:tc>
        <w:tc>
          <w:tcPr>
            <w:tcW w:type="dxa" w:w="2771"/>
          </w:tcPr>
          <w:p>
            <w:pPr>
              <w:spacing w:line="276" w:lineRule="auto" w:after="40"/>
            </w:pPr>
            <w:r>
              <w:rPr/>
            </w:r>
            <w:r>
              <w:rPr>
                <w:rFonts w:ascii="宋体" w:hAnsi="宋体" w:eastAsia="宋体" w:cs="宋体"/>
                <w:b w:val="0"/>
                <w:color w:val="000000"/>
                <w:sz w:val="21"/>
              </w:rPr>
              <w:t>方案预先采取的放电电价p放与充电电价p充</w:t>
            </w:r>
          </w:p>
        </w:tc>
      </w:tr>
      <w:tr>
        <w:tc>
          <w:tcPr>
            <w:tcW w:type="dxa" w:w="2771"/>
          </w:tcPr>
          <w:p>
            <w:pPr>
              <w:spacing w:line="276" w:lineRule="auto" w:after="40"/>
            </w:pPr>
            <w:r>
              <w:rPr/>
            </w:r>
            <w:r>
              <w:rPr>
                <w:rFonts w:ascii="宋体" w:hAnsi="宋体" w:eastAsia="宋体" w:cs="宋体"/>
                <w:b w:val="0"/>
                <w:color w:val="000000"/>
                <w:sz w:val="21"/>
              </w:rPr>
              <w:t>右侧效率</w:t>
            </w:r>
          </w:p>
        </w:tc>
        <w:tc>
          <w:tcPr>
            <w:tcW w:type="dxa" w:w="2771"/>
          </w:tcPr>
          <w:p>
            <w:pPr>
              <w:spacing w:line="276" w:lineRule="auto" w:after="40"/>
            </w:pPr>
            <w:r>
              <w:rPr/>
            </w:r>
            <w:r>
              <w:rPr>
                <w:rFonts w:ascii="宋体" w:hAnsi="宋体" w:eastAsia="宋体" w:cs="宋体"/>
                <w:b w:val="0"/>
                <w:color w:val="000000"/>
                <w:sz w:val="21"/>
              </w:rPr>
              <w:t>逆变器转换效率与电瓶转化率的乘积本身</w:t>
            </w:r>
          </w:p>
        </w:tc>
        <w:tc>
          <w:tcPr>
            <w:tcW w:type="dxa" w:w="2771"/>
          </w:tcPr>
          <w:p>
            <w:pPr>
              <w:spacing w:line="276" w:lineRule="auto" w:after="40"/>
            </w:pPr>
            <w:r>
              <w:rPr/>
            </w:r>
            <w:r>
              <w:rPr>
                <w:rFonts w:ascii="宋体" w:hAnsi="宋体" w:eastAsia="宋体" w:cs="宋体"/>
                <w:b w:val="0"/>
                <w:color w:val="000000"/>
                <w:sz w:val="21"/>
              </w:rPr>
              <w:t>1减去储能充电效率与放电效率的乘积</w:t>
            </w:r>
          </w:p>
        </w:tc>
      </w:tr>
      <w:tr>
        <w:tc>
          <w:tcPr>
            <w:tcW w:type="dxa" w:w="2771"/>
          </w:tcPr>
          <w:p>
            <w:pPr>
              <w:spacing w:line="276" w:lineRule="auto" w:after="40"/>
            </w:pPr>
            <w:r>
              <w:rPr/>
            </w:r>
            <w:r>
              <w:rPr>
                <w:rFonts w:ascii="宋体" w:hAnsi="宋体" w:eastAsia="宋体" w:cs="宋体"/>
                <w:b w:val="0"/>
                <w:color w:val="000000"/>
                <w:sz w:val="21"/>
              </w:rPr>
              <w:t>效率在公式中的位置</w:t>
            </w:r>
          </w:p>
        </w:tc>
        <w:tc>
          <w:tcPr>
            <w:tcW w:type="dxa" w:w="2771"/>
          </w:tcPr>
          <w:p>
            <w:pPr>
              <w:spacing w:line="276" w:lineRule="auto" w:after="40"/>
            </w:pPr>
            <w:r>
              <w:rPr/>
            </w:r>
            <w:r>
              <w:rPr>
                <w:rFonts w:ascii="宋体" w:hAnsi="宋体" w:eastAsia="宋体" w:cs="宋体"/>
                <w:b w:val="0"/>
                <w:color w:val="000000"/>
                <w:sz w:val="21"/>
              </w:rPr>
              <w:t>两项效率相乘后作为一个整体与差价率比较</w:t>
            </w:r>
          </w:p>
        </w:tc>
        <w:tc>
          <w:tcPr>
            <w:tcW w:type="dxa" w:w="2771"/>
          </w:tcPr>
          <w:p>
            <w:pPr>
              <w:spacing w:line="276" w:lineRule="auto" w:after="40"/>
            </w:pPr>
            <w:r>
              <w:rPr/>
            </w:r>
            <w:r>
              <w:rPr>
                <w:rFonts w:ascii="宋体" w:hAnsi="宋体" w:eastAsia="宋体" w:cs="宋体"/>
                <w:b w:val="0"/>
                <w:color w:val="000000"/>
                <w:sz w:val="21"/>
              </w:rPr>
              <w:t>η放乘在放电收益上，η充除在充电成本上，二者不对称</w:t>
            </w:r>
          </w:p>
        </w:tc>
      </w:tr>
      <w:tr>
        <w:tc>
          <w:tcPr>
            <w:tcW w:type="dxa" w:w="2771"/>
          </w:tcPr>
          <w:p>
            <w:pPr>
              <w:spacing w:line="276" w:lineRule="auto" w:after="40"/>
            </w:pPr>
            <w:r>
              <w:rPr/>
            </w:r>
            <w:r>
              <w:rPr>
                <w:rFonts w:ascii="宋体" w:hAnsi="宋体" w:eastAsia="宋体" w:cs="宋体"/>
                <w:b w:val="0"/>
                <w:color w:val="000000"/>
                <w:sz w:val="21"/>
              </w:rPr>
              <w:t>是否使用容量、SOC区间、备用容量比、年运行天数、年容量损耗率</w:t>
            </w:r>
          </w:p>
        </w:tc>
        <w:tc>
          <w:tcPr>
            <w:tcW w:type="dxa" w:w="2771"/>
          </w:tcPr>
          <w:p>
            <w:pPr>
              <w:spacing w:line="276" w:lineRule="auto" w:after="40"/>
            </w:pPr>
            <w:r>
              <w:rPr/>
            </w:r>
            <w:r>
              <w:rPr>
                <w:rFonts w:ascii="宋体" w:hAnsi="宋体" w:eastAsia="宋体" w:cs="宋体"/>
                <w:b w:val="0"/>
                <w:color w:val="000000"/>
                <w:sz w:val="21"/>
              </w:rPr>
              <w:t>不使用</w:t>
            </w:r>
          </w:p>
        </w:tc>
        <w:tc>
          <w:tcPr>
            <w:tcW w:type="dxa" w:w="2771"/>
          </w:tcPr>
          <w:p>
            <w:pPr>
              <w:spacing w:line="276" w:lineRule="auto" w:after="40"/>
            </w:pPr>
            <w:r>
              <w:rPr/>
            </w:r>
            <w:r>
              <w:rPr>
                <w:rFonts w:ascii="宋体" w:hAnsi="宋体" w:eastAsia="宋体" w:cs="宋体"/>
                <w:b w:val="0"/>
                <w:color w:val="000000"/>
                <w:sz w:val="21"/>
              </w:rPr>
              <w:t>必须使用</w:t>
            </w:r>
          </w:p>
        </w:tc>
      </w:tr>
      <w:tr>
        <w:tc>
          <w:tcPr>
            <w:tcW w:type="dxa" w:w="2771"/>
          </w:tcPr>
          <w:p>
            <w:pPr>
              <w:spacing w:line="276" w:lineRule="auto" w:after="40"/>
            </w:pPr>
            <w:r>
              <w:rPr/>
            </w:r>
            <w:r>
              <w:rPr>
                <w:rFonts w:ascii="宋体" w:hAnsi="宋体" w:eastAsia="宋体" w:cs="宋体"/>
                <w:b w:val="0"/>
                <w:color w:val="000000"/>
                <w:sz w:val="21"/>
              </w:rPr>
              <w:t>比较结果的去向</w:t>
            </w:r>
          </w:p>
        </w:tc>
        <w:tc>
          <w:tcPr>
            <w:tcW w:type="dxa" w:w="2771"/>
          </w:tcPr>
          <w:p>
            <w:pPr>
              <w:spacing w:line="276" w:lineRule="auto" w:after="40"/>
            </w:pPr>
            <w:r>
              <w:rPr/>
            </w:r>
            <w:r>
              <w:rPr>
                <w:rFonts w:ascii="宋体" w:hAnsi="宋体" w:eastAsia="宋体" w:cs="宋体"/>
                <w:b w:val="0"/>
                <w:color w:val="000000"/>
                <w:sz w:val="21"/>
              </w:rPr>
              <w:t>控制逆变器充电或停止充电，并在低谷段异常时报警</w:t>
            </w:r>
          </w:p>
        </w:tc>
        <w:tc>
          <w:tcPr>
            <w:tcW w:type="dxa" w:w="2771"/>
          </w:tcPr>
          <w:p>
            <w:pPr>
              <w:spacing w:line="276" w:lineRule="auto" w:after="40"/>
            </w:pPr>
            <w:r>
              <w:rPr/>
            </w:r>
            <w:r>
              <w:rPr>
                <w:rFonts w:ascii="宋体" w:hAnsi="宋体" w:eastAsia="宋体" w:cs="宋体"/>
                <w:b w:val="0"/>
                <w:color w:val="000000"/>
                <w:sz w:val="21"/>
              </w:rPr>
              <w:t>得出万元收益，用于经济效益评估</w:t>
            </w:r>
          </w:p>
        </w:tc>
      </w:tr>
    </w:tbl>
    <w:p/>
    <w:p>
      <w:pPr>
        <w:ind w:firstLine="420"/>
      </w:pPr>
      <w:r>
        <w:rPr>
          <w:rFonts w:ascii="宋体" w:hAnsi="宋体" w:eastAsia="宋体" w:cs="宋体"/>
          <w:b w:val="0"/>
          <w:color w:val="000000"/>
          <w:sz w:val="24"/>
        </w:rPr>
        <w:t>常规数学变换应当保持变换前后的关系等价，并且不改变参与运算的物理量和结果的用途。由对比文件2不能经过这种变换得到权利要求1的判据。审查意见所称“（fp,放－fp,充）的计算本质上即是对电价差与能量转换损耗之间关系的量化评估”，是对公式经济含义的归纳，不是对比文件2已经记载的、可直接用于逆变器启停的技术手段。</w:t>
      </w:r>
    </w:p>
    <w:p>
      <w:pPr>
        <w:ind w:firstLine="0"/>
      </w:pPr>
      <w:r>
        <w:rPr>
          <w:rFonts w:ascii="宋体" w:hAnsi="宋体" w:eastAsia="宋体" w:cs="宋体"/>
          <w:b/>
          <w:color w:val="000000"/>
          <w:sz w:val="24"/>
        </w:rPr>
        <w:t>第三，参与运算的物理量也不相同。</w:t>
      </w:r>
    </w:p>
    <w:p>
      <w:pPr>
        <w:ind w:firstLine="420"/>
      </w:pPr>
      <w:r>
        <w:rPr>
          <w:rFonts w:ascii="宋体" w:hAnsi="宋体" w:eastAsia="宋体" w:cs="宋体"/>
          <w:b w:val="0"/>
          <w:color w:val="000000"/>
          <w:sz w:val="24"/>
        </w:rPr>
        <w:t>对比文件2的效率是储能设备的充电效率η充和放电效率η放。权利要求1的效率是逆变器转换效率和电瓶转化率，对应充电电能所经过的逆变器环节和电瓶环节，并由参数获取计算单元单独获取后相乘。对比文件2的电价是评估场景中的放电电价和充电电价；权利要求1使用的是运行当时的实时电价和该电网的高峰段电价，差价率随实时电价变化，从而能够在运行过程中反复给出充电或停止充电的指令。</w:t>
      </w:r>
    </w:p>
    <w:p>
      <w:pPr>
        <w:ind w:firstLine="420"/>
      </w:pPr>
      <w:r>
        <w:rPr>
          <w:rFonts w:ascii="宋体" w:hAnsi="宋体" w:eastAsia="宋体" w:cs="宋体"/>
          <w:b w:val="0"/>
          <w:color w:val="000000"/>
          <w:sz w:val="24"/>
        </w:rPr>
        <w:t>对比文件2也没有公开区别特征D。其全文没有警报。效率在对比文件2中只用于修正收益数额，说明书第[0064]段记载的是考虑运行损耗后年收益逐年下降、运行期总收益仍按货币金额给出，没有把收益高低或效率数值解释为逆变器故障或电瓶故障。</w:t>
      </w:r>
    </w:p>
    <w:p>
      <w:pPr>
        <w:ind w:firstLine="420"/>
      </w:pPr>
      <w:r>
        <w:rPr>
          <w:rFonts w:ascii="宋体" w:hAnsi="宋体" w:eastAsia="宋体" w:cs="宋体"/>
          <w:b w:val="0"/>
          <w:color w:val="000000"/>
          <w:sz w:val="24"/>
        </w:rPr>
        <w:t>因此，区别特征A至D没有被对比文件2公开，也不属于对对比文件2的常规数学变换。</w:t>
      </w:r>
    </w:p>
    <w:p>
      <w:pPr>
        <w:spacing w:before="200" w:after="80"/>
        <w:ind w:firstLine="0"/>
      </w:pPr>
      <w:r>
        <w:rPr>
          <w:rFonts w:ascii="黑体" w:hAnsi="黑体" w:eastAsia="黑体" w:cs="黑体"/>
          <w:b/>
          <w:color w:val="000000"/>
          <w:sz w:val="24"/>
        </w:rPr>
        <w:t>（四）对比文件1第[0048]段不能提供将两篇对比文件按上述方式结合的启示</w:t>
      </w:r>
    </w:p>
    <w:p>
      <w:pPr>
        <w:ind w:firstLine="420"/>
      </w:pPr>
      <w:r>
        <w:rPr>
          <w:rFonts w:ascii="宋体" w:hAnsi="宋体" w:eastAsia="宋体" w:cs="宋体"/>
          <w:b w:val="0"/>
          <w:color w:val="000000"/>
          <w:sz w:val="24"/>
        </w:rPr>
        <w:t>审查意见援引对比文件1第[0048]段，认为对比文件1已经认识到需要结合电价与含损耗的成本来确定充放电策略，因而本领域技术人员容易想到借鉴对比文件2，把电价差收益与能量转换损耗作量化对比。该推理不能成立。</w:t>
      </w:r>
    </w:p>
    <w:p>
      <w:pPr>
        <w:ind w:firstLine="420"/>
      </w:pPr>
      <w:r>
        <w:rPr>
          <w:rFonts w:ascii="宋体" w:hAnsi="宋体" w:eastAsia="宋体" w:cs="宋体"/>
          <w:b w:val="0"/>
          <w:color w:val="000000"/>
          <w:sz w:val="24"/>
        </w:rPr>
        <w:t>第[0048]段中的“度电成本”是储能电池系统全寿命周期内的度电成本。全寿命周期度电成本用于在峰、谷、平机制下确定充放电策略，服务于“经济性最佳”这一效果描述。该段没有给出度电成本的计算公式，没有出现逆变器转换效率、电瓶转化率、实时电价、差价率、耗损率，没有给出任何比较步骤，也没有给出比较结果与逆变器启停之间的对应关系。效果上的原则性描述，不能视为已经公开了区别特征A至D，也不能视为已经给出采用这些具体特征的技术启示。</w:t>
      </w:r>
    </w:p>
    <w:p>
      <w:pPr>
        <w:ind w:firstLine="420"/>
      </w:pPr>
      <w:r>
        <w:rPr>
          <w:rFonts w:ascii="宋体" w:hAnsi="宋体" w:eastAsia="宋体" w:cs="宋体"/>
          <w:b w:val="0"/>
          <w:color w:val="000000"/>
          <w:sz w:val="24"/>
        </w:rPr>
        <w:t>对比文件1自身的充电许可条件是清楚且完整的：当前处于低谷或符合条件的平段，储能电池电压小于充电电压，并且充电支持数大于预设充电支持数（权利要求1，说明书第[0025]段至第[0029]段、第[0037]段）。该条件服务于电池组均衡和避免过充、过放（说明书第[0003]段、第[0016]段）。本领域技术人员若在对比文件1的基础上继续改进，所面对的技术问题是如何更准确地判断电池电量状态和簇内一致性。对比文件1已经沿着电压、充放电支持数、簇总压差、预充均衡和绝缘检测给出了手段。沿着这一方向改进，得不到以逆变器转换效率和电瓶转化率的乘积同实时电价差价率作比较、再按比较结果控制逆变器并在低谷段报警的判据。</w:t>
      </w:r>
    </w:p>
    <w:p>
      <w:pPr>
        <w:ind w:firstLine="420"/>
      </w:pPr>
      <w:r>
        <w:rPr>
          <w:rFonts w:ascii="宋体" w:hAnsi="宋体" w:eastAsia="宋体" w:cs="宋体"/>
          <w:b w:val="0"/>
          <w:color w:val="000000"/>
          <w:sz w:val="24"/>
        </w:rPr>
        <w:t>对比文件1与对比文件2的结合，至多使本领域技术人员在对比文件1的能量管理系统中增加一个离线或规划用途的收益计算功能，输入容量、SOC区间、备用容量比、年损耗率和充放电效率，输出万元收益。由该收益数值仍然到不了权利要求1。本领域技术人员还需要自行完成至少下列选择，而两篇对比文件均没有给出这些选择：</w:t>
      </w:r>
    </w:p>
    <w:p>
      <w:pPr>
        <w:ind w:left="420" w:hanging="283"/>
      </w:pPr>
      <w:r>
        <w:rPr>
          <w:rFonts w:ascii="宋体" w:hAnsi="宋体" w:eastAsia="宋体" w:cs="宋体"/>
          <w:b w:val="0"/>
          <w:color w:val="000000"/>
          <w:sz w:val="24"/>
        </w:rPr>
        <w:t>1. 舍弃容量、SOC区间、备用容量比、年运行天数和年容量损耗率，只保留电价和效率；</w:t>
      </w:r>
    </w:p>
    <w:p>
      <w:pPr>
        <w:ind w:left="420" w:hanging="283"/>
      </w:pPr>
      <w:r>
        <w:rPr>
          <w:rFonts w:ascii="宋体" w:hAnsi="宋体" w:eastAsia="宋体" w:cs="宋体"/>
          <w:b w:val="0"/>
          <w:color w:val="000000"/>
          <w:sz w:val="24"/>
        </w:rPr>
        <w:t>2. 把不对称出现的η放、η充改成逆变器转换效率与电瓶转化率的乘积，并将该乘积定义为耗损率；</w:t>
      </w:r>
    </w:p>
    <w:p>
      <w:pPr>
        <w:ind w:left="420" w:hanging="283"/>
      </w:pPr>
      <w:r>
        <w:rPr>
          <w:rFonts w:ascii="宋体" w:hAnsi="宋体" w:eastAsia="宋体" w:cs="宋体"/>
          <w:b w:val="0"/>
          <w:color w:val="000000"/>
          <w:sz w:val="24"/>
        </w:rPr>
        <w:t>3. 用高峰段电价和实时电价构造相对差价率，并与该乘积直接比较；</w:t>
      </w:r>
    </w:p>
    <w:p>
      <w:pPr>
        <w:ind w:left="420" w:hanging="283"/>
      </w:pPr>
      <w:r>
        <w:rPr>
          <w:rFonts w:ascii="宋体" w:hAnsi="宋体" w:eastAsia="宋体" w:cs="宋体"/>
          <w:b w:val="0"/>
          <w:color w:val="000000"/>
          <w:sz w:val="24"/>
        </w:rPr>
        <w:t>4. 把大于、小于两个分支分别对应为控制逆变器充电、控制逆变器停止充电；</w:t>
      </w:r>
    </w:p>
    <w:p>
      <w:pPr>
        <w:ind w:left="420" w:hanging="283"/>
      </w:pPr>
      <w:r>
        <w:rPr>
          <w:rFonts w:ascii="宋体" w:hAnsi="宋体" w:eastAsia="宋体" w:cs="宋体"/>
          <w:b w:val="0"/>
          <w:color w:val="000000"/>
          <w:sz w:val="24"/>
        </w:rPr>
        <w:t>5. 在低谷段充电时，若差价率仍小于耗损率，不将其作为“收益为负”的评估结论，而将其作为逆变器故障和电瓶故障的报警条件。</w:t>
      </w:r>
    </w:p>
    <w:p>
      <w:pPr>
        <w:ind w:firstLine="420"/>
      </w:pPr>
      <w:r>
        <w:rPr>
          <w:rFonts w:ascii="宋体" w:hAnsi="宋体" w:eastAsia="宋体" w:cs="宋体"/>
          <w:b w:val="0"/>
          <w:color w:val="000000"/>
          <w:sz w:val="24"/>
        </w:rPr>
        <w:t>第5项尤其不能从两篇对比文件中得到。低谷段是电价最低的时段，差价率在这一时段相对更大。本发明利用的正是这一点：低谷段仍然出现差价率小于耗损率，说明耗损率相对正常水平升高，逆变器和电瓶可能已经故障，因而报警并提醒检修、更换（原说明书第[0044]段）。对比文件1的报警由电池簇最大总压与最小总压之差超过允许值触发，报警后的处理是发送总压差故障信息、关闭故障电池簇或启动维护模式做电压均衡（权利要求5，说明书第[0041]段、第[0042]段）。其判断对象是簇内电池电压一致性，不是逆变器转换效率，也不是电瓶转化率，更不引入电价。对比文件2没有报警。本领域公知的做法是设备参数越限时报警，但该公知做法没有给出“用低谷段的电价差价率与逆变器转换效率、电瓶转化率的乘积之间的大小关系，识别逆变器故障和电瓶故障”这一判据。用外部电价信号与两个环节的转换效率共同构成故障判据，不是总压差报警或收益评估的常规替换。</w:t>
      </w:r>
    </w:p>
    <w:p>
      <w:pPr>
        <w:ind w:firstLine="420"/>
      </w:pPr>
      <w:r>
        <w:rPr>
          <w:rFonts w:ascii="宋体" w:hAnsi="宋体" w:eastAsia="宋体" w:cs="宋体"/>
          <w:b w:val="0"/>
          <w:color w:val="000000"/>
          <w:sz w:val="24"/>
        </w:rPr>
        <w:t>审查意见对原权利要求8、9的评述是“当差价率持续小于耗损率时，可能意味着逆变器或电瓶的实际效率低于正常值，此时发出警报是显而易见的”。这一“可能意味着”的推断，来自本发明说明书第[0044]段已经写明的技术构思，而不是来自对比文件1或对比文件2。在创造性判断中，不能用发明本身提供的技术启示反过来证明该发明显而易见。</w:t>
      </w:r>
    </w:p>
    <w:p>
      <w:pPr>
        <w:spacing w:before="200" w:after="80"/>
        <w:ind w:firstLine="0"/>
      </w:pPr>
      <w:r>
        <w:rPr>
          <w:rFonts w:ascii="黑体" w:hAnsi="黑体" w:eastAsia="黑体" w:cs="黑体"/>
          <w:b/>
          <w:color w:val="000000"/>
          <w:sz w:val="24"/>
        </w:rPr>
        <w:t>（五）结论</w:t>
      </w:r>
    </w:p>
    <w:p>
      <w:pPr>
        <w:ind w:firstLine="420"/>
      </w:pPr>
      <w:r>
        <w:rPr>
          <w:rFonts w:ascii="宋体" w:hAnsi="宋体" w:eastAsia="宋体" w:cs="宋体"/>
          <w:b w:val="0"/>
          <w:color w:val="000000"/>
          <w:sz w:val="24"/>
        </w:rPr>
        <w:t>修改后的权利要求1相对于对比文件1存在区别特征A至D。对比文件2没有公开这些区别特征，这些特征在对比文件2中也不存在相同的作用。对比文件1第[0048]段的原则性记载、对比文件1原有的电压和支持数判断以及总压差报警，均不能给出采用上述区别特征的技术启示。区别特征整体带来了原说明书所记载的充电控制和低谷段故障报警效果。权利要求1对本领域技术人员而言并非显而易见，具有突出的实质性特点和显著的进步，具备专利法第22条第3款规定的创造性。</w:t>
      </w:r>
    </w:p>
    <w:p>
      <w:pPr>
        <w:spacing w:before="240" w:after="120"/>
        <w:ind w:firstLine="0"/>
      </w:pPr>
      <w:r>
        <w:rPr>
          <w:rFonts w:ascii="黑体" w:hAnsi="黑体" w:eastAsia="黑体" w:cs="黑体"/>
          <w:b/>
          <w:color w:val="000000"/>
          <w:sz w:val="28"/>
        </w:rPr>
        <w:t>三、从属权利要求具备创造性</w:t>
      </w:r>
    </w:p>
    <w:p>
      <w:pPr>
        <w:ind w:firstLine="420"/>
      </w:pPr>
      <w:r>
        <w:rPr>
          <w:rFonts w:ascii="宋体" w:hAnsi="宋体" w:eastAsia="宋体" w:cs="宋体"/>
          <w:b w:val="0"/>
          <w:color w:val="000000"/>
          <w:sz w:val="24"/>
        </w:rPr>
        <w:t>审查意见对原从属权利要求的评述，均以“在其引用的权利要求1不具备创造性的前提下”作为起点，再认定附加特征属于常规手段。在权利要求1具备创造性的基础上，直接或间接引用权利要求1的从属权利要求具备创造性。</w:t>
      </w:r>
    </w:p>
    <w:p>
      <w:pPr>
        <w:ind w:firstLine="420"/>
      </w:pPr>
      <w:r>
        <w:rPr>
          <w:rFonts w:ascii="宋体" w:hAnsi="宋体" w:eastAsia="宋体" w:cs="宋体"/>
          <w:b w:val="0"/>
          <w:color w:val="000000"/>
          <w:sz w:val="24"/>
        </w:rPr>
        <w:t>即便单独考察各附加技术特征，对比文件1和对比文件2也没有公开这些特征，或者所公开的手段作用不同。分述如下。</w:t>
      </w:r>
    </w:p>
    <w:p>
      <w:pPr>
        <w:spacing w:before="200" w:after="80"/>
        <w:ind w:firstLine="0"/>
      </w:pPr>
      <w:r>
        <w:rPr>
          <w:rFonts w:ascii="黑体" w:hAnsi="黑体" w:eastAsia="黑体" w:cs="黑体"/>
          <w:b/>
          <w:color w:val="000000"/>
          <w:sz w:val="24"/>
        </w:rPr>
        <w:t>（一）权利要求2</w:t>
      </w:r>
    </w:p>
    <w:p>
      <w:pPr>
        <w:ind w:firstLine="420"/>
      </w:pPr>
      <w:r>
        <w:rPr>
          <w:rFonts w:ascii="宋体" w:hAnsi="宋体" w:eastAsia="宋体" w:cs="宋体"/>
          <w:b w:val="0"/>
          <w:color w:val="000000"/>
          <w:sz w:val="24"/>
        </w:rPr>
        <w:t>权利要求2限定在低谷段时充电、在高峰段时停止充电。该特征与权利要求1的判据同时适用：低谷段、高峰段只是时段条件，是否向电瓶充电仍取决于差价率与耗损率的比较；在低谷段若比较结果异常，还要按权利要求1发出逆变器故障和电瓶故障警报。</w:t>
      </w:r>
    </w:p>
    <w:p>
      <w:pPr>
        <w:ind w:firstLine="420"/>
      </w:pPr>
      <w:r>
        <w:rPr>
          <w:rFonts w:ascii="宋体" w:hAnsi="宋体" w:eastAsia="宋体" w:cs="宋体"/>
          <w:b w:val="0"/>
          <w:color w:val="000000"/>
          <w:sz w:val="24"/>
        </w:rPr>
        <w:t>对比文件1在低谷时段充电、在峰值时段改为由储能电池供电或由电网供电（说明书第[0026]段、第[0031]段）。其峰值时段的处理是选择供电电源，并不是在差价率与耗损率的比较之外再设置“停止充电”。对比文件1还明确允许在平段、负载用电量小且充电支持数满足时继续充电（说明书第[0027]段），其充放电许可不依附于差价率与耗损率。对比文件2不涉及充电控制。权利要求2的附加特征与区别特征A至D组合后，对比文件没有给出启示。</w:t>
      </w:r>
    </w:p>
    <w:p>
      <w:pPr>
        <w:spacing w:before="200" w:after="80"/>
        <w:ind w:firstLine="0"/>
      </w:pPr>
      <w:r>
        <w:rPr>
          <w:rFonts w:ascii="黑体" w:hAnsi="黑体" w:eastAsia="黑体" w:cs="黑体"/>
          <w:b/>
          <w:color w:val="000000"/>
          <w:sz w:val="24"/>
        </w:rPr>
        <w:t>（二）权利要求3</w:t>
      </w:r>
    </w:p>
    <w:p>
      <w:pPr>
        <w:ind w:firstLine="420"/>
      </w:pPr>
      <w:r>
        <w:rPr>
          <w:rFonts w:ascii="宋体" w:hAnsi="宋体" w:eastAsia="宋体" w:cs="宋体"/>
          <w:b w:val="0"/>
          <w:color w:val="000000"/>
          <w:sz w:val="24"/>
        </w:rPr>
        <w:t>权利要求3限定：电瓶电量高于第一预设值时，停止对电瓶充电并转为向用电设备供电；电瓶电量低于第二预设值时，停止向用电设备供电并转为对电瓶充电。这是以电瓶电量为对象的双阈值双向切换。</w:t>
      </w:r>
    </w:p>
    <w:p>
      <w:pPr>
        <w:ind w:firstLine="420"/>
      </w:pPr>
      <w:r>
        <w:rPr>
          <w:rFonts w:ascii="宋体" w:hAnsi="宋体" w:eastAsia="宋体" w:cs="宋体"/>
          <w:b w:val="0"/>
          <w:color w:val="000000"/>
          <w:sz w:val="24"/>
        </w:rPr>
        <w:t>对比文件1使用的是储能电池电压与充电电压、放电电压的比较，以及充电支持数、放电支持数与预设支持数的比较（说明书第[0025]段至第[0032]段）。充电支持数的含义是“电压小于充电电压的电池数量”，放电支持数的含义是“电压大于放电电压的电池数量”（说明书第[0029]段、第[0032]段）。这是电池只数统计，不是电瓶电量与第一预设值、第二预设值的比较。对比文件1的充电和放电还分别绑定低谷、平段和峰值时段，并不存在“电量高于第一预设值即停止充电并改为供电、电量低于第二预设值即停止供电并改为充电”这一与时段解耦的双向切换。</w:t>
      </w:r>
    </w:p>
    <w:p>
      <w:pPr>
        <w:ind w:firstLine="420"/>
      </w:pPr>
      <w:r>
        <w:rPr>
          <w:rFonts w:ascii="宋体" w:hAnsi="宋体" w:eastAsia="宋体" w:cs="宋体"/>
          <w:b w:val="0"/>
          <w:color w:val="000000"/>
          <w:sz w:val="24"/>
        </w:rPr>
        <w:t>审查意见引用的说明书第[0027]段至第[0029]段，记载的是平段电价下按负载大小、电压和充电支持数决定充电或电量均衡，以及充电支持数的定义，不能对应权利要求3的两个电量阈值。为防止过充过放而设置阈值属于本领域的一般需求，但该需求没有给出权利要求3这一具体切换逻辑，也没有给出将该逻辑与差价率、耗损率判据以及低谷段故障报警一并使用的启示。原说明书第[0044]段还写明，设置这两个预设值是为了充分利用电瓶并提高使用寿命。该效果建立在与前述判据共同构成的控制之上。</w:t>
      </w:r>
    </w:p>
    <w:p>
      <w:pPr>
        <w:spacing w:before="200" w:after="80"/>
        <w:ind w:firstLine="0"/>
      </w:pPr>
      <w:r>
        <w:rPr>
          <w:rFonts w:ascii="黑体" w:hAnsi="黑体" w:eastAsia="黑体" w:cs="黑体"/>
          <w:b/>
          <w:color w:val="000000"/>
          <w:sz w:val="24"/>
        </w:rPr>
        <w:t>（三）权利要求4</w:t>
      </w:r>
    </w:p>
    <w:p>
      <w:pPr>
        <w:ind w:firstLine="420"/>
      </w:pPr>
      <w:r>
        <w:rPr>
          <w:rFonts w:ascii="宋体" w:hAnsi="宋体" w:eastAsia="宋体" w:cs="宋体"/>
          <w:b w:val="0"/>
          <w:color w:val="000000"/>
          <w:sz w:val="24"/>
        </w:rPr>
        <w:t>权利要求4限定：在低谷段，并且参数获取计算单元获取的电瓶功率为最佳功率时才充电。对比文件1只要处于低谷时段且电压小于充电电压即充电（说明书第[0026]段），平段充电还取决于负载大小和充电支持数（说明书第[0027]段），全程没有以电瓶功率是否处于最佳功率作为充电的附加许可条件。对比文件2的计算使用额定容量和SOC区间，不判断电瓶的实时功率，也不存在“最佳功率”这一充电条件。该附加条件与权利要求1的判据叠加后，充电须同时满足低谷段、最佳功率以及差价率大于耗损率，对比文件没有公开这一组合，也没有给出启示。</w:t>
      </w:r>
    </w:p>
    <w:p>
      <w:pPr>
        <w:spacing w:before="200" w:after="80"/>
        <w:ind w:firstLine="0"/>
      </w:pPr>
      <w:r>
        <w:rPr>
          <w:rFonts w:ascii="黑体" w:hAnsi="黑体" w:eastAsia="黑体" w:cs="黑体"/>
          <w:b/>
          <w:color w:val="000000"/>
          <w:sz w:val="24"/>
        </w:rPr>
        <w:t>（四）权利要求5</w:t>
      </w:r>
    </w:p>
    <w:p>
      <w:pPr>
        <w:ind w:firstLine="420"/>
      </w:pPr>
      <w:r>
        <w:rPr>
          <w:rFonts w:ascii="宋体" w:hAnsi="宋体" w:eastAsia="宋体" w:cs="宋体"/>
          <w:b w:val="0"/>
          <w:color w:val="000000"/>
          <w:sz w:val="24"/>
        </w:rPr>
        <w:t>权利要求5限定：电网电价还包括按用电量阶梯计费；电费结算日前一天，周期总电量位于最高档时，停止充电。</w:t>
      </w:r>
    </w:p>
    <w:p>
      <w:pPr>
        <w:ind w:firstLine="420"/>
      </w:pPr>
      <w:r>
        <w:rPr>
          <w:rFonts w:ascii="宋体" w:hAnsi="宋体" w:eastAsia="宋体" w:cs="宋体"/>
          <w:b w:val="0"/>
          <w:color w:val="000000"/>
          <w:sz w:val="24"/>
        </w:rPr>
        <w:t>对比文件1的电价只有低谷、平段、峰值三种时段电价（说明书第[0024]段）。对比文件2的电价是地区电网分时电价中的放电电价和充电电价（说明书第[0043]段、第[0050]段）。两篇对比文件均没有记载阶梯电价，没有记载电费结算日，没有记载以结算日前一天的周期总电量所处档位决定是否停止对电瓶充电。</w:t>
      </w:r>
    </w:p>
    <w:p>
      <w:pPr>
        <w:ind w:firstLine="420"/>
      </w:pPr>
      <w:r>
        <w:rPr>
          <w:rFonts w:ascii="宋体" w:hAnsi="宋体" w:eastAsia="宋体" w:cs="宋体"/>
          <w:b w:val="0"/>
          <w:color w:val="000000"/>
          <w:sz w:val="24"/>
        </w:rPr>
        <w:t>审查意见认为“根据阶梯电价调整用电策略、累计用电量达到最高档时停止不必要的用电”属于常规节能手段。该概括不能覆盖权利要求5。权利要求5停止的不是一般负载用电，而是对电瓶的充电。对电瓶充电是为了在另一时段经逆变器向用电设备供电而主动增加的用电。权利要求5在电费结算日前一天这一特定时点，以本计费周期累计电量是否已经位于最高档为条件，停止该项充电，使充电电量不再计入已经处于最高档的周期电量。这一控制与权利要求1的差价率、耗损率判据针对的是两项不同的电价因素：前者针对高峰段电价与实时电价的差，后者针对阶梯档位。两篇对比文件都只涉及分时电价，没有给出在分时电价判据之外再以结算日前一天的阶梯档位关闭电瓶充电的启示。</w:t>
      </w:r>
    </w:p>
    <w:p>
      <w:pPr>
        <w:ind w:firstLine="420"/>
      </w:pPr>
      <w:r>
        <w:rPr>
          <w:rFonts w:ascii="宋体" w:hAnsi="宋体" w:eastAsia="宋体" w:cs="宋体"/>
          <w:b w:val="0"/>
          <w:color w:val="000000"/>
          <w:sz w:val="24"/>
        </w:rPr>
        <w:t>请审查员注意，权利要求5的上述特征在两篇对比文件中均无记载。若审查员认为独立权利要求仍需进一步限定，申请人可以在后续程序中将权利要求5补入权利要求1。请审查员在本次审查中一并考虑该特征。</w:t>
      </w:r>
    </w:p>
    <w:p>
      <w:pPr>
        <w:spacing w:before="200" w:after="80"/>
        <w:ind w:firstLine="0"/>
      </w:pPr>
      <w:r>
        <w:rPr>
          <w:rFonts w:ascii="黑体" w:hAnsi="黑体" w:eastAsia="黑体" w:cs="黑体"/>
          <w:b/>
          <w:color w:val="000000"/>
          <w:sz w:val="24"/>
        </w:rPr>
        <w:t>（五）权利要求6</w:t>
      </w:r>
    </w:p>
    <w:p>
      <w:pPr>
        <w:ind w:firstLine="420"/>
      </w:pPr>
      <w:r>
        <w:rPr>
          <w:rFonts w:ascii="宋体" w:hAnsi="宋体" w:eastAsia="宋体" w:cs="宋体"/>
          <w:b w:val="0"/>
          <w:color w:val="000000"/>
          <w:sz w:val="24"/>
        </w:rPr>
        <w:t>权利要求6限定控制器提供用户自定义充放电模式，用户可对充放电时间段作自定义。原说明书第[0044]段记载，该模式与智能调节模式并列，使用场景包括用户已知将要停电时提前对电瓶充电，以备应急用电。对比文件1的充放电时段由电价监控模块按低谷、平段、峰值决定，并由能量管理系统执行（说明书第[0046]段、第[0047]段），没有为用户提供独立于该自动逻辑的时段自定义，也没有将该自定义用于停电前的应急预充电。对比文件2是评估方法，不存在面向用户的充放电模式。该特征在权利要求1的自动判据之外提供了另一条由用户触发的充电路径，对比文件没有公开。</w:t>
      </w:r>
    </w:p>
    <w:p>
      <w:pPr>
        <w:spacing w:before="240" w:after="120"/>
        <w:ind w:firstLine="0"/>
      </w:pPr>
      <w:r>
        <w:rPr>
          <w:rFonts w:ascii="黑体" w:hAnsi="黑体" w:eastAsia="黑体" w:cs="黑体"/>
          <w:b/>
          <w:color w:val="000000"/>
          <w:sz w:val="28"/>
        </w:rPr>
        <w:t>四、权利要求7具备创造性</w:t>
      </w:r>
    </w:p>
    <w:p>
      <w:pPr>
        <w:ind w:firstLine="420"/>
      </w:pPr>
      <w:r>
        <w:rPr>
          <w:rFonts w:ascii="宋体" w:hAnsi="宋体" w:eastAsia="宋体" w:cs="宋体"/>
          <w:b w:val="0"/>
          <w:color w:val="000000"/>
          <w:sz w:val="24"/>
        </w:rPr>
        <w:t>权利要求7请求保护相应装置，包括相互电连接的控制器、逆变器和电瓶，控制器内设有电价获取单元、参数获取计算单元和警报器，并包括权利要求1至6任一项所述方法。</w:t>
      </w:r>
    </w:p>
    <w:p>
      <w:pPr>
        <w:ind w:firstLine="420"/>
      </w:pPr>
      <w:r>
        <w:rPr>
          <w:rFonts w:ascii="宋体" w:hAnsi="宋体" w:eastAsia="宋体" w:cs="宋体"/>
          <w:b w:val="0"/>
          <w:color w:val="000000"/>
          <w:sz w:val="24"/>
        </w:rPr>
        <w:t>对比文件1的系统包括通信前置机、电价监控模块、能量管理系统、储能电池系统、电池管理系统和储能双向变流器（说明书第[0046]段，图2、图3）。电价监控模块用于判断当前处于哪一种电价时段。能量管理系统用于分配储能与电网的电能并确定充放电时段。充放电检测模块检测的是电池电压和充放电支持数。其中没有参数获取计算单元，没有按权利要求1的公式计算差价率和耗损率并据此驱动逆变器的结构，也没有在低谷段基于该比较结果提醒逆变器故障和电瓶故障的警报器。</w:t>
      </w:r>
    </w:p>
    <w:p>
      <w:pPr>
        <w:ind w:firstLine="420"/>
      </w:pPr>
      <w:r>
        <w:rPr>
          <w:rFonts w:ascii="宋体" w:hAnsi="宋体" w:eastAsia="宋体" w:cs="宋体"/>
          <w:b w:val="0"/>
          <w:color w:val="000000"/>
          <w:sz w:val="24"/>
        </w:rPr>
        <w:t>对比文件2的系统包括地区电网电价接收器、年收益计算处理单元和总收益计算单元（说明书第[0065]段至第[0070]段，图3）。年收益计算处理单元输出的是收益数据。该系统不是由控制器、逆变器和电瓶构成的充放电装置，不能向用电设备供电，也不能发出权利要求1所限定的故障警报。</w:t>
      </w:r>
    </w:p>
    <w:p>
      <w:pPr>
        <w:ind w:firstLine="420"/>
      </w:pPr>
      <w:r>
        <w:rPr>
          <w:rFonts w:ascii="宋体" w:hAnsi="宋体" w:eastAsia="宋体" w:cs="宋体"/>
          <w:b w:val="0"/>
          <w:color w:val="000000"/>
          <w:sz w:val="24"/>
        </w:rPr>
        <w:t>在对比文件1的硬件上增加“一个计算单元和一个警报器”，并不能当然得到权利要求7。只有使该计算单元执行区别特征A至C、使该警报器执行区别特征D，装置才具备原说明书第[0022]段和第[0044]段的效果。如前所述，两篇对比文件都没有给出设置这种计算和报警的启示。权利要求1至6的方法具备创造性，包含该方法的权利要求7同样具备创造性。</w:t>
      </w:r>
    </w:p>
    <w:p>
      <w:pPr>
        <w:spacing w:before="240" w:after="120"/>
        <w:ind w:firstLine="0"/>
      </w:pPr>
      <w:r>
        <w:rPr>
          <w:rFonts w:ascii="黑体" w:hAnsi="黑体" w:eastAsia="黑体" w:cs="黑体"/>
          <w:b/>
          <w:color w:val="000000"/>
          <w:sz w:val="28"/>
        </w:rPr>
        <w:t>五、关于“说明书没有其他可授权实质内容”的意见</w:t>
      </w:r>
    </w:p>
    <w:p>
      <w:pPr>
        <w:ind w:firstLine="420"/>
      </w:pPr>
      <w:r>
        <w:rPr>
          <w:rFonts w:ascii="宋体" w:hAnsi="宋体" w:eastAsia="宋体" w:cs="宋体"/>
          <w:b w:val="0"/>
          <w:color w:val="000000"/>
          <w:sz w:val="24"/>
        </w:rPr>
        <w:t>通知书认为，即使对权利要求重新组合或依据说明书进一步限定，本申请也不具备授权前景。申请人请求审查员重新考虑这一结论。</w:t>
      </w:r>
    </w:p>
    <w:p>
      <w:pPr>
        <w:ind w:firstLine="420"/>
      </w:pPr>
      <w:r>
        <w:rPr>
          <w:rFonts w:ascii="宋体" w:hAnsi="宋体" w:eastAsia="宋体" w:cs="宋体"/>
          <w:b w:val="0"/>
          <w:color w:val="000000"/>
          <w:sz w:val="24"/>
        </w:rPr>
        <w:t>原说明书并非只重复了“低谷充电、高峰放电”。第[0007]段至第[0011]段、第[0029]段至第[0034]段记载了差价率与耗损率的取得和比较，以及按比较结果控制逆变器充电或停止充电。第[0012]段和第[0035]段记载了两项具体计算公式。第[0018]段、第[0019]段、第[0041]段、第[0042]段和第[0044]段记载了低谷段差价率仍小于耗损率时识别逆变器故障、电瓶故障并发出警报。第[0016]段和第[0039]段记载了按结算日前一天的阶梯档位停止充电。这些内容都是已经记载的技术方案，不是概括性的愿望。</w:t>
      </w:r>
    </w:p>
    <w:p>
      <w:pPr>
        <w:ind w:firstLine="420"/>
      </w:pPr>
      <w:r>
        <w:rPr>
          <w:rFonts w:ascii="宋体" w:hAnsi="宋体" w:eastAsia="宋体" w:cs="宋体"/>
          <w:b w:val="0"/>
          <w:color w:val="000000"/>
          <w:sz w:val="24"/>
        </w:rPr>
        <w:t>通知书的上述结论建立在两项认定之上：一是权利要求1与对比文件的区别可以被对比文件2的收益公式和常规数学变换覆盖；二是报警、阶梯电价等附加特征属于常规手段。前文已经说明，对比文件2的公式与权利要求1的判据不等价，作用也不同；低谷段故障报警所使用的判据没有被任何一篇对比文件公开。在这两项认定不能成立的情况下，说明书没有可授权实质内容的结论亦不能成立。</w:t>
      </w:r>
    </w:p>
    <w:p>
      <w:pPr>
        <w:ind w:firstLine="420"/>
      </w:pPr>
      <w:r>
        <w:rPr>
          <w:rFonts w:ascii="宋体" w:hAnsi="宋体" w:eastAsia="宋体" w:cs="宋体"/>
          <w:b w:val="0"/>
          <w:color w:val="000000"/>
          <w:sz w:val="24"/>
        </w:rPr>
        <w:t>修改后的权利要求1已经包含原权利要求1、2、8、9的全部技术特征。请审查员在该修改文本的基础上重新评价创造性。</w:t>
      </w:r>
    </w:p>
    <w:p>
      <w:pPr>
        <w:spacing w:before="240" w:after="120"/>
        <w:ind w:firstLine="0"/>
      </w:pPr>
      <w:r>
        <w:rPr>
          <w:rFonts w:ascii="黑体" w:hAnsi="黑体" w:eastAsia="黑体" w:cs="黑体"/>
          <w:b/>
          <w:color w:val="000000"/>
          <w:sz w:val="28"/>
        </w:rPr>
        <w:t>六、结语</w:t>
      </w:r>
    </w:p>
    <w:p>
      <w:pPr>
        <w:ind w:firstLine="420"/>
      </w:pPr>
      <w:r>
        <w:rPr>
          <w:rFonts w:ascii="宋体" w:hAnsi="宋体" w:eastAsia="宋体" w:cs="宋体"/>
          <w:b w:val="0"/>
          <w:color w:val="000000"/>
          <w:sz w:val="24"/>
        </w:rPr>
        <w:t>申请人已经针对通知书指出的全部创造性问题作了修改和陈述。修改后的权利要求1至7相对于对比文件1和对比文件2具备专利法第22条第3款规定的创造性，申请文件符合专利法及其实施细则的有关规定。</w:t>
      </w:r>
    </w:p>
    <w:p>
      <w:pPr>
        <w:ind w:firstLine="420"/>
      </w:pPr>
      <w:r>
        <w:rPr>
          <w:rFonts w:ascii="宋体" w:hAnsi="宋体" w:eastAsia="宋体" w:cs="宋体"/>
          <w:b w:val="0"/>
          <w:color w:val="000000"/>
          <w:sz w:val="24"/>
        </w:rPr>
        <w:t>恳请审查员在上述意见的基础上继续审查，并授予专利权。审查员若对某一项区别特征仍持有不同意见，申请人愿意按审查员指出的具体缺陷进一步陈述或修改。</w:t>
      </w:r>
    </w:p>
    <w:p>
      <w:pPr>
        <w:ind w:firstLine="420"/>
      </w:pPr>
      <w:r>
        <w:rPr>
          <w:rFonts w:ascii="宋体" w:hAnsi="宋体" w:eastAsia="宋体" w:cs="宋体"/>
          <w:b w:val="0"/>
          <w:color w:val="000000"/>
          <w:sz w:val="24"/>
        </w:rPr>
        <w:t>此致</w:t>
      </w:r>
    </w:p>
    <w:p>
      <w:pPr>
        <w:ind w:firstLine="420"/>
      </w:pPr>
      <w:r>
        <w:rPr>
          <w:rFonts w:ascii="宋体" w:hAnsi="宋体" w:eastAsia="宋体" w:cs="宋体"/>
          <w:b w:val="0"/>
          <w:color w:val="000000"/>
          <w:sz w:val="24"/>
        </w:rPr>
        <w:t>国家知识产权局</w:t>
      </w:r>
    </w:p>
    <w:p>
      <w:pPr>
        <w:ind w:firstLine="420"/>
      </w:pPr>
      <w:r>
        <w:rPr>
          <w:rFonts w:ascii="宋体" w:hAnsi="宋体" w:eastAsia="宋体" w:cs="宋体"/>
          <w:b w:val="0"/>
          <w:color w:val="000000"/>
          <w:sz w:val="24"/>
        </w:rPr>
        <w:t>申请人：湖南喜宝达信息科技有限公司</w:t>
      </w:r>
    </w:p>
    <w:p>
      <w:pPr>
        <w:ind w:firstLine="420"/>
      </w:pPr>
      <w:r>
        <w:rPr>
          <w:rFonts w:ascii="宋体" w:hAnsi="宋体" w:eastAsia="宋体" w:cs="宋体"/>
          <w:b w:val="0"/>
          <w:color w:val="000000"/>
          <w:sz w:val="24"/>
        </w:rPr>
        <w:t>代理机构：长沙知行亦创知识产权代理事务所（普通合伙）</w:t>
      </w:r>
    </w:p>
    <w:p>
      <w:pPr>
        <w:ind w:firstLine="420"/>
      </w:pPr>
      <w:r>
        <w:rPr>
          <w:rFonts w:ascii="宋体" w:hAnsi="宋体" w:eastAsia="宋体" w:cs="宋体"/>
          <w:b w:val="0"/>
          <w:color w:val="000000"/>
          <w:sz w:val="24"/>
        </w:rPr>
        <w:t>代理师：李杰</w:t>
      </w:r>
    </w:p>
    <w:p>
      <w:pPr>
        <w:ind w:firstLine="420"/>
      </w:pPr>
      <w:r>
        <w:rPr>
          <w:rFonts w:ascii="宋体" w:hAnsi="宋体" w:eastAsia="宋体" w:cs="宋体"/>
          <w:b w:val="0"/>
          <w:color w:val="000000"/>
          <w:sz w:val="24"/>
        </w:rPr>
        <w:t>年　　月　　日</w:t>
      </w:r>
    </w:p>
    <w:p>
      <w:pPr>
        <w:ind w:firstLine="0"/>
      </w:pPr>
      <w:r>
        <w:rPr>
          <w:rFonts w:ascii="宋体" w:hAnsi="宋体" w:eastAsia="宋体" w:cs="宋体"/>
          <w:b/>
          <w:color w:val="000000"/>
          <w:sz w:val="24"/>
        </w:rPr>
        <w:t>附件清单：</w:t>
      </w:r>
    </w:p>
    <w:p>
      <w:pPr>
        <w:ind w:left="420" w:hanging="283"/>
      </w:pPr>
      <w:r>
        <w:rPr>
          <w:rFonts w:ascii="宋体" w:hAnsi="宋体" w:eastAsia="宋体" w:cs="宋体"/>
          <w:b w:val="0"/>
          <w:color w:val="000000"/>
          <w:sz w:val="24"/>
        </w:rPr>
        <w:t>1. 权利要求书替换页（修改后权利要求第1项至第7项）</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color w:val="000000"/>
        <w:sz w:val="18"/>
      </w:rPr>
      <w:t>申请号：202210956187.7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s="宋体"/>
        <w:b w:val="0"/>
        <w:color w:val="000000"/>
        <w:sz w:val="18"/>
      </w:rPr>
      <w:t>第一次审查意见答复　申请号202210956187.7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