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 xml:space="preserve">5.30想法构思 与5.31会议记录 </w:t>
      </w:r>
    </w:p>
    <w:p>
      <w:pPr>
        <w:pStyle w:val="1"/>
        <w:spacing w:before="380" w:after="140" w:line="288" w:lineRule="auto"/>
        <w:ind w:left="0"/>
        <w:jc w:val="left"/>
        <w:outlineLvl w:val="0"/>
      </w:pPr>
      <w:bookmarkStart w:name="heading_0" w:id="0"/>
      <w:r>
        <w:rPr>
          <w:rFonts w:eastAsia="等线" w:ascii="Arial" w:cs="Arial" w:hAnsi="Arial"/>
          <w:b w:val="true"/>
          <w:sz w:val="36"/>
        </w:rPr>
        <w:t>功能添加或者扩展</w:t>
      </w:r>
      <w:bookmarkEnd w:id="0"/>
    </w:p>
    <w:p>
      <w:pPr>
        <w:numPr>
          <w:numId w:val="1"/>
        </w:numPr>
        <w:spacing w:before="120" w:after="120" w:line="288" w:lineRule="auto"/>
        <w:ind w:left="0"/>
        <w:jc w:val="left"/>
      </w:pPr>
      <w:r>
        <w:rPr>
          <w:rFonts w:eastAsia="等线" w:ascii="Arial" w:cs="Arial" w:hAnsi="Arial"/>
          <w:sz w:val="22"/>
        </w:rPr>
        <w:t>可解释与可溯源，应对</w:t>
      </w:r>
      <w:r>
        <w:rPr>
          <w:rFonts w:eastAsia="等线" w:ascii="Arial" w:cs="Arial" w:hAnsi="Arial"/>
          <w:b w:val="true"/>
          <w:sz w:val="22"/>
        </w:rPr>
        <w:t>监管问询</w:t>
      </w:r>
      <w:r>
        <w:rPr>
          <w:rFonts w:eastAsia="等线" w:ascii="Arial" w:cs="Arial" w:hAnsi="Arial"/>
          <w:sz w:val="22"/>
        </w:rPr>
        <w:t>（我们的产品嵌入开发流程，可回溯我们对于这项功能的上线有什么合规审查，有什么safeguard）讲故事部分</w:t>
      </w:r>
      <w:r>
        <w:rPr>
          <w:rFonts w:eastAsia="等线" w:ascii="Arial" w:cs="Arial" w:hAnsi="Arial"/>
          <w:sz w:val="22"/>
        </w:rPr>
        <w:t xml:space="preserve"> 【在国内，涉及到监管的行业主要是银行保险，科技的要求和门槛会更高。</w:t>
      </w:r>
      <w:r>
        <w:rPr>
          <w:rFonts w:eastAsia="等线" w:ascii="Arial" w:cs="Arial" w:hAnsi="Arial"/>
          <w:sz w:val="22"/>
          <w:shd w:fill="fff67a"/>
        </w:rPr>
        <w:t>我的理解这里监管是在AI应用/APP/小程序的上架中，苹果或者安卓或者微信等机构在国内法律法规要求下实行的技术方案的审核要求</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sz w:val="22"/>
        </w:rPr>
        <w:t>涉及小龙虾的底层权责分配（需调研，之前的AI ide和现在的能控制电脑，删除电脑文件的ide 有什么不同之处，分别的用户协议隐私政策是否有显著不同）</w:t>
      </w:r>
      <w:r>
        <w:rPr>
          <w:rFonts w:eastAsia="等线" w:ascii="Arial" w:cs="Arial" w:hAnsi="Arial"/>
          <w:b w:val="true"/>
          <w:sz w:val="22"/>
        </w:rPr>
        <w:t>【因为之前的可以理解成只是编程，现在的可以编写、删除电脑上的文件】》讲故事阶段</w:t>
      </w:r>
      <w:r>
        <w:rPr>
          <w:rFonts w:eastAsia="等线" w:ascii="Arial" w:cs="Arial" w:hAnsi="Arial"/>
          <w:b w:val="true"/>
          <w:sz w:val="22"/>
          <w:shd w:fill="fff67a"/>
        </w:rPr>
        <w:t>【OPC开发者的开发环境相对比较简单，但涉及到中型企业开发环境有一定的独立性和保护性，故如果我们变成智能体的形态，是否让使用者防止在开发环境中，这个待商榷。建议前期的工具形态尽可能轻一些】</w:t>
      </w:r>
    </w:p>
    <w:p>
      <w:pPr>
        <w:spacing w:before="120" w:after="120" w:line="288" w:lineRule="auto"/>
        <w:ind w:left="0"/>
        <w:jc w:val="left"/>
      </w:pPr>
      <w:r>
        <w:rPr>
          <w:rFonts w:eastAsia="等线" w:ascii="Arial" w:cs="Arial" w:hAnsi="Arial"/>
          <w:sz w:val="22"/>
        </w:rPr>
        <w:t xml:space="preserve">        在评审中增加：</w:t>
      </w:r>
    </w:p>
    <w:p>
      <w:pPr>
        <w:numPr>
          <w:numId w:val="3"/>
        </w:numPr>
        <w:spacing w:before="120" w:after="120" w:line="288" w:lineRule="auto"/>
        <w:ind w:left="0"/>
        <w:jc w:val="left"/>
      </w:pPr>
      <w:r>
        <w:rPr>
          <w:rFonts w:eastAsia="等线" w:ascii="Arial" w:cs="Arial" w:hAnsi="Arial"/>
          <w:sz w:val="22"/>
        </w:rPr>
        <w:t xml:space="preserve"> 用户协议明确界定责任 </w:t>
      </w:r>
    </w:p>
    <w:p>
      <w:pPr>
        <w:numPr>
          <w:numId w:val="4"/>
        </w:numPr>
        <w:spacing w:before="120" w:after="120" w:line="288" w:lineRule="auto"/>
        <w:ind w:left="0"/>
        <w:jc w:val="left"/>
      </w:pPr>
      <w:r>
        <w:rPr>
          <w:rFonts w:eastAsia="等线" w:ascii="Arial" w:cs="Arial" w:hAnsi="Arial"/>
          <w:sz w:val="22"/>
        </w:rPr>
        <w:t xml:space="preserve"> 操作日志留痕 </w:t>
      </w:r>
    </w:p>
    <w:p>
      <w:pPr>
        <w:numPr>
          <w:numId w:val="5"/>
        </w:numPr>
        <w:spacing w:before="120" w:after="120" w:line="288" w:lineRule="auto"/>
        <w:ind w:left="0"/>
        <w:jc w:val="left"/>
      </w:pPr>
      <w:r>
        <w:rPr>
          <w:rFonts w:eastAsia="等线" w:ascii="Arial" w:cs="Arial" w:hAnsi="Arial"/>
          <w:sz w:val="22"/>
        </w:rPr>
        <w:t xml:space="preserve"> 提醒开发者潜在法律风险（数据损坏、隐私泄露等）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传统AI IDE（代码建议型）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Agentic IDE（行动执行型）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产品形态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在编辑器内提供代码补全/聊天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可执行Shell命令、读写文件、部署服务、删除数据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法律关系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"工具提供者"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"自动化系统提供者/委托代理人"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数据访问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仅访问当前打开的文件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可访问整个文件系统、环境变量、数据库、甚至云端资源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用户授权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隐式授权（使用即同意）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w:t>
            </w:r>
            <w:r>
              <w:rPr>
                <w:rFonts w:eastAsia="等线" w:ascii="Arial" w:cs="Arial" w:hAnsi="Arial"/>
                <w:b w:val="true"/>
                <w:sz w:val="22"/>
              </w:rPr>
              <w:t>显式、分级的操作授权</w:t>
            </w:r>
            <w:r>
              <w:rPr>
                <w:rFonts w:eastAsia="等线" w:ascii="Arial" w:cs="Arial" w:hAnsi="Arial"/>
                <w:sz w:val="22"/>
              </w:rPr>
              <w:t>（如：允许读取/允许写入/允许删除/允许执行）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责任主体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开发者对用户代码负责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平台+开发者对</w:t>
            </w:r>
            <w:r>
              <w:rPr>
                <w:rFonts w:eastAsia="等线" w:ascii="Arial" w:cs="Arial" w:hAnsi="Arial"/>
                <w:b w:val="true"/>
                <w:sz w:val="22"/>
              </w:rPr>
              <w:t>执行结果</w:t>
            </w:r>
            <w:r>
              <w:rPr>
                <w:rFonts w:eastAsia="等线" w:ascii="Arial" w:cs="Arial" w:hAnsi="Arial"/>
                <w:sz w:val="22"/>
              </w:rPr>
              <w:t>负责（包括误删文件、错误部署）</w:t>
            </w:r>
          </w:p>
        </w:tc>
      </w:tr>
    </w:tbl>
    <w:p>
      <w:pPr>
        <w:numPr>
          <w:numId w:val="6"/>
        </w:numPr>
        <w:spacing w:before="120" w:after="120" w:line="288" w:lineRule="auto"/>
        <w:ind w:left="0"/>
        <w:jc w:val="left"/>
      </w:pPr>
      <w:r>
        <w:rPr>
          <w:rFonts w:eastAsia="等线" w:ascii="Arial" w:cs="Arial" w:hAnsi="Arial"/>
          <w:sz w:val="22"/>
        </w:rPr>
        <w:t>区分</w:t>
      </w:r>
      <w:r>
        <w:rPr>
          <w:rFonts w:eastAsia="等线" w:ascii="Arial" w:cs="Arial" w:hAnsi="Arial"/>
          <w:b w:val="true"/>
          <w:sz w:val="22"/>
        </w:rPr>
        <w:t>记忆层</w:t>
      </w:r>
      <w:r>
        <w:rPr>
          <w:rFonts w:eastAsia="等线" w:ascii="Arial" w:cs="Arial" w:hAnsi="Arial"/>
          <w:sz w:val="22"/>
        </w:rPr>
        <w:t>，可能一个创始人有多个产品</w:t>
      </w:r>
      <w:r>
        <w:rPr>
          <w:rFonts w:eastAsia="等线" w:ascii="Arial" w:cs="Arial" w:hAnsi="Arial"/>
          <w:b w:val="true"/>
          <w:sz w:val="22"/>
        </w:rPr>
        <w:t>【提供交叉记忆选项】。</w:t>
      </w:r>
      <w:r>
        <w:rPr>
          <w:rFonts w:eastAsia="等线" w:ascii="Arial" w:cs="Arial" w:hAnsi="Arial"/>
          <w:sz w:val="22"/>
        </w:rPr>
        <w:t>创始人级记忆（公司信息、通用合规策略）和产品级记忆（各产品的独立风险画像、文档版本），避免互相敏感风险与评估互相污染</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Organization（组织/创始人层）      │</w:t>
      </w:r>
    </w:p>
    <w:p>
      <w:pPr>
        <w:spacing w:before="120" w:after="120" w:line="288" w:lineRule="auto"/>
        <w:ind w:left="0"/>
        <w:jc w:val="left"/>
      </w:pPr>
      <w:r>
        <w:rPr>
          <w:rFonts w:eastAsia="等线" w:ascii="Arial" w:cs="Arial" w:hAnsi="Arial"/>
          <w:sz w:val="22"/>
        </w:rPr>
        <w:t>│  · 公司信息、法人、营业执照、ICP备案号      │</w:t>
      </w:r>
    </w:p>
    <w:p>
      <w:pPr>
        <w:spacing w:before="120" w:after="120" w:line="288" w:lineRule="auto"/>
        <w:ind w:left="0"/>
        <w:jc w:val="left"/>
      </w:pPr>
      <w:r>
        <w:rPr>
          <w:rFonts w:eastAsia="等线" w:ascii="Arial" w:cs="Arial" w:hAnsi="Arial"/>
          <w:sz w:val="22"/>
        </w:rPr>
        <w:t>│  · 通用合规策略模板                       │</w:t>
      </w:r>
    </w:p>
    <w:p>
      <w:pPr>
        <w:spacing w:before="120" w:after="120" w:line="288" w:lineRule="auto"/>
        <w:ind w:left="0"/>
        <w:jc w:val="left"/>
      </w:pPr>
      <w:r>
        <w:rPr>
          <w:rFonts w:eastAsia="等线" w:ascii="Arial" w:cs="Arial" w:hAnsi="Arial"/>
          <w:sz w:val="22"/>
        </w:rPr>
        <w:t>│  · 团队成员与权限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Workspace（工作空间/产品层）       │</w:t>
      </w:r>
    </w:p>
    <w:p>
      <w:pPr>
        <w:spacing w:before="120" w:after="120" w:line="288" w:lineRule="auto"/>
        <w:ind w:left="0"/>
        <w:jc w:val="left"/>
      </w:pPr>
      <w:r>
        <w:rPr>
          <w:rFonts w:eastAsia="等线" w:ascii="Arial" w:cs="Arial" w:hAnsi="Arial"/>
          <w:sz w:val="22"/>
        </w:rPr>
        <w:t>│  · 产品名称、形态、功能描述               │</w:t>
      </w:r>
    </w:p>
    <w:p>
      <w:pPr>
        <w:spacing w:before="120" w:after="120" w:line="288" w:lineRule="auto"/>
        <w:ind w:left="0"/>
        <w:jc w:val="left"/>
      </w:pPr>
      <w:r>
        <w:rPr>
          <w:rFonts w:eastAsia="等线" w:ascii="Arial" w:cs="Arial" w:hAnsi="Arial"/>
          <w:sz w:val="22"/>
        </w:rPr>
        <w:t>│  · 独立的风险报告、评审单、文档包           │</w:t>
      </w:r>
    </w:p>
    <w:p>
      <w:pPr>
        <w:spacing w:before="120" w:after="120" w:line="288" w:lineRule="auto"/>
        <w:ind w:left="0"/>
        <w:jc w:val="left"/>
      </w:pPr>
      <w:r>
        <w:rPr>
          <w:rFonts w:eastAsia="等线" w:ascii="Arial" w:cs="Arial" w:hAnsi="Arial"/>
          <w:sz w:val="22"/>
        </w:rPr>
        <w:t>│  · 独立的备案编号和状态                   │</w:t>
      </w:r>
    </w:p>
    <w:p>
      <w:pPr>
        <w:spacing w:before="120" w:after="120" w:line="288" w:lineRule="auto"/>
        <w:ind w:left="0"/>
        <w:jc w:val="left"/>
      </w:pPr>
      <w:r>
        <w:rPr>
          <w:rFonts w:eastAsia="等线" w:ascii="Arial" w:cs="Arial" w:hAnsi="Arial"/>
          <w:sz w:val="22"/>
        </w:rPr>
        <w:t>│  · 产品专属配置（收集什么数据、用什么模型）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Session（会话层）               │</w:t>
      </w:r>
    </w:p>
    <w:p>
      <w:pPr>
        <w:spacing w:before="120" w:after="120" w:line="288" w:lineRule="auto"/>
        <w:ind w:left="0"/>
        <w:jc w:val="left"/>
      </w:pPr>
      <w:r>
        <w:rPr>
          <w:rFonts w:eastAsia="等线" w:ascii="Arial" w:cs="Arial" w:hAnsi="Arial"/>
          <w:sz w:val="22"/>
        </w:rPr>
        <w:t>│  · 单次评估的输入快照                     │</w:t>
      </w:r>
    </w:p>
    <w:p>
      <w:pPr>
        <w:spacing w:before="120" w:after="120" w:line="288" w:lineRule="auto"/>
        <w:ind w:left="0"/>
        <w:jc w:val="left"/>
      </w:pPr>
      <w:r>
        <w:rPr>
          <w:rFonts w:eastAsia="等线" w:ascii="Arial" w:cs="Arial" w:hAnsi="Arial"/>
          <w:sz w:val="22"/>
        </w:rPr>
        <w:t>│  · 单次生成的文档版本                     │</w:t>
      </w:r>
    </w:p>
    <w:p>
      <w:pPr>
        <w:spacing w:before="120" w:after="120" w:line="288" w:lineRule="auto"/>
        <w:ind w:left="0"/>
        <w:jc w:val="left"/>
      </w:pPr>
      <w:r>
        <w:rPr>
          <w:rFonts w:eastAsia="等线" w:ascii="Arial" w:cs="Arial" w:hAnsi="Arial"/>
          <w:sz w:val="22"/>
        </w:rPr>
        <w:t>│  · 临时草稿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需要建设什么能力</w:t>
      </w:r>
      <w:bookmarkEnd w:id="1"/>
    </w:p>
    <w:p>
      <w:pPr>
        <w:numPr>
          <w:numId w:val="7"/>
        </w:numPr>
        <w:spacing w:before="120" w:after="120" w:line="288" w:lineRule="auto"/>
        <w:ind w:left="0"/>
        <w:jc w:val="left"/>
      </w:pPr>
      <w:r>
        <w:rPr>
          <w:rFonts w:eastAsia="等线" w:ascii="Arial" w:cs="Arial" w:hAnsi="Arial"/>
          <w:sz w:val="22"/>
        </w:rPr>
        <w:t>层级排序的规则库：法律法规》地方政策》补贴政策》商店上架要求》各平台营销运营规范</w:t>
      </w:r>
      <w:r>
        <w:rPr>
          <w:rFonts w:eastAsia="等线" w:ascii="Arial" w:cs="Arial" w:hAnsi="Arial"/>
          <w:b w:val="true"/>
          <w:sz w:val="22"/>
        </w:rPr>
        <w:t>【要跟开发者聊】</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numPr>
          <w:numId w:val="8"/>
        </w:numPr>
        <w:spacing w:before="120" w:after="120" w:line="288" w:lineRule="auto"/>
        <w:ind w:left="0"/>
        <w:jc w:val="left"/>
      </w:pPr>
      <w:r>
        <w:rPr>
          <w:rFonts w:eastAsia="等线" w:ascii="Arial" w:cs="Arial" w:hAnsi="Arial"/>
          <w:sz w:val="22"/>
        </w:rPr>
        <w:t>热门行业场景</w:t>
      </w:r>
      <w:r>
        <w:rPr>
          <w:rFonts w:eastAsia="等线" w:ascii="Arial" w:cs="Arial" w:hAnsi="Arial"/>
          <w:b w:val="true"/>
          <w:sz w:val="22"/>
        </w:rPr>
        <w:t>【怎么实现有待调研】</w:t>
      </w:r>
      <w:r>
        <w:rPr>
          <w:rFonts w:eastAsia="等线" w:ascii="Arial" w:cs="Arial" w:hAnsi="Arial"/>
          <w:sz w:val="22"/>
        </w:rPr>
        <w:t>，三个。AI营销GEO【监管动态：中央网信办已启动“清朗·整治AI技术滥用”专项行动】、AI内容生成、AI陪伴</w:t>
      </w:r>
      <w:r>
        <w:rPr>
          <w:rFonts w:eastAsia="等线" w:ascii="Arial" w:cs="Arial" w:hAnsi="Arial"/>
          <w:sz w:val="22"/>
        </w:rPr>
        <w:t>【</w:t>
      </w:r>
      <w:r>
        <w:rPr>
          <w:rFonts w:eastAsia="等线" w:ascii="Arial" w:cs="Arial" w:hAnsi="Arial"/>
          <w:sz w:val="22"/>
          <w:shd w:fill="fff67a"/>
        </w:rPr>
        <w:t>建议先锁定AI营销GEO</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风险识别和合规评审</w:t>
      </w:r>
    </w:p>
    <w:p>
      <w:pPr>
        <w:spacing w:before="120" w:after="120" w:line="288" w:lineRule="auto"/>
        <w:ind w:left="0"/>
        <w:jc w:val="center"/>
      </w:pPr>
      <w:r>
        <w:drawing>
          <wp:inline distT="0" distR="0" distB="0" distL="0">
            <wp:extent cx="5257800" cy="3162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3162300"/>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根据OPC场景和业务的文书模板填充与生成</w:t>
      </w:r>
    </w:p>
    <w:p>
      <w:pPr>
        <w:numPr>
          <w:numId w:val="11"/>
        </w:numPr>
        <w:spacing w:before="120" w:after="120" w:line="288" w:lineRule="auto"/>
        <w:ind w:left="0"/>
        <w:jc w:val="left"/>
      </w:pPr>
      <w:r>
        <w:rPr>
          <w:rFonts w:eastAsia="等线" w:ascii="Arial" w:cs="Arial" w:hAnsi="Arial"/>
          <w:sz w:val="22"/>
        </w:rPr>
        <w:t>可追溯的合规步骤留痕：</w:t>
      </w:r>
    </w:p>
    <w:p>
      <w:pPr>
        <w:spacing w:before="120" w:after="120" w:line="288" w:lineRule="auto"/>
        <w:ind w:left="0"/>
        <w:jc w:val="left"/>
      </w:pPr>
      <w:r>
        <w:rPr>
          <w:rFonts w:eastAsia="等线" w:ascii="Arial" w:cs="Arial" w:hAnsi="Arial"/>
          <w:b w:val="true"/>
          <w:sz w:val="22"/>
        </w:rPr>
        <w:t>操作日志</w:t>
      </w:r>
      <w:r>
        <w:rPr>
          <w:rFonts w:eastAsia="等线" w:ascii="Arial" w:cs="Arial" w:hAnsi="Arial"/>
          <w:sz w:val="22"/>
        </w:rPr>
        <w:t xml:space="preserve">：每次生成的简报/评审单记录触发的规则条目、时间戳、用户操作。 </w:t>
      </w:r>
    </w:p>
    <w:p>
      <w:pPr>
        <w:spacing w:before="120" w:after="120" w:line="288" w:lineRule="auto"/>
        <w:ind w:left="0"/>
        <w:jc w:val="left"/>
      </w:pPr>
      <w:r>
        <w:rPr>
          <w:rFonts w:eastAsia="等线" w:ascii="Arial" w:cs="Arial" w:hAnsi="Arial"/>
          <w:b w:val="true"/>
          <w:sz w:val="22"/>
        </w:rPr>
        <w:t>规则引用</w:t>
      </w:r>
      <w:r>
        <w:rPr>
          <w:rFonts w:eastAsia="等线" w:ascii="Arial" w:cs="Arial" w:hAnsi="Arial"/>
          <w:sz w:val="22"/>
        </w:rPr>
        <w:t>：输出简报时附带法律条款编号和摘要，满足监管问询。</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一些思考</w:t>
      </w:r>
      <w:bookmarkEnd w:id="2"/>
    </w:p>
    <w:p>
      <w:pPr>
        <w:numPr>
          <w:numId w:val="12"/>
        </w:numPr>
        <w:spacing w:before="120" w:after="120" w:line="288" w:lineRule="auto"/>
        <w:ind w:left="0"/>
        <w:jc w:val="left"/>
      </w:pPr>
      <w:r>
        <w:rPr>
          <w:rFonts w:eastAsia="等线" w:ascii="Arial" w:cs="Arial" w:hAnsi="Arial"/>
          <w:sz w:val="22"/>
        </w:rPr>
        <w:t>不够时间做欧盟的，demo的比赛版本，focus国内的更好（现阶段受众肯定也是国内创业者）</w:t>
      </w:r>
      <w:r>
        <w:rPr>
          <w:rFonts w:eastAsia="等线" w:ascii="Arial" w:cs="Arial" w:hAnsi="Arial"/>
          <w:b w:val="true"/>
          <w:sz w:val="22"/>
        </w:rPr>
        <w:t>【预留规则库和模板接口】</w:t>
      </w:r>
    </w:p>
    <w:p>
      <w:pPr>
        <w:spacing w:before="120" w:after="120" w:line="288" w:lineRule="auto"/>
        <w:ind w:left="0"/>
        <w:jc w:val="left"/>
      </w:pPr>
      <w:r>
        <w:rPr>
          <w:rFonts w:eastAsia="等线" w:ascii="Arial" w:cs="Arial" w:hAnsi="Arial"/>
          <w:b w:val="true"/>
          <w:sz w:val="22"/>
        </w:rPr>
        <w:t>比赛受众对齐</w:t>
      </w:r>
      <w:r>
        <w:rPr>
          <w:rFonts w:eastAsia="等线" w:ascii="Arial" w:cs="Arial" w:hAnsi="Arial"/>
          <w:sz w:val="22"/>
        </w:rPr>
        <w:t>：国内的创新大赛，评委最看重的是产品对国内监管科技（RegTech）的探索、对地方 OPC 社区/独立开发者的实际扶持，以及应对国内“大模型备案、算法推荐备案”这一真实核心痛点的能力。</w:t>
      </w:r>
    </w:p>
    <w:p>
      <w:pPr>
        <w:spacing w:before="120" w:after="120" w:line="288" w:lineRule="auto"/>
        <w:ind w:left="0"/>
        <w:jc w:val="left"/>
      </w:pPr>
      <w:r>
        <w:rPr>
          <w:rFonts w:eastAsia="等线" w:ascii="Arial" w:cs="Arial" w:hAnsi="Arial"/>
          <w:b w:val="true"/>
          <w:sz w:val="22"/>
        </w:rPr>
        <w:t>避开双线作战</w:t>
      </w:r>
      <w:r>
        <w:rPr>
          <w:rFonts w:eastAsia="等线" w:ascii="Arial" w:cs="Arial" w:hAnsi="Arial"/>
          <w:sz w:val="22"/>
        </w:rPr>
        <w:t>：欧盟 AI Act 和 GDPR 的体系极其庞杂，强行塞入 Demo 会导致两边都做不深。把欧盟部分放到“未来全景（V2）”作为出海故事来讲，既能展现国际化视野，又能保证当前 Demo 的交付质量。</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sz w:val="22"/>
        </w:rPr>
        <w:t>ICP备案，app的三个月审查？</w:t>
      </w:r>
      <w:r>
        <w:rPr>
          <w:rFonts w:eastAsia="等线" w:ascii="Arial" w:cs="Arial" w:hAnsi="Arial"/>
          <w:b w:val="true"/>
          <w:sz w:val="22"/>
        </w:rPr>
        <w:t>【提前布局，不让合规拖慢开发与产品节奏】、</w:t>
      </w:r>
    </w:p>
    <w:p>
      <w:pPr>
        <w:spacing w:before="120" w:after="120" w:line="288" w:lineRule="auto"/>
        <w:ind w:left="0"/>
        <w:jc w:val="left"/>
      </w:pPr>
      <w:r>
        <w:rPr>
          <w:rFonts w:eastAsia="等线" w:ascii="Arial" w:cs="Arial" w:hAnsi="Arial"/>
          <w:sz w:val="22"/>
        </w:rPr>
        <w:t>国内上架 App 或小程序，备案和审查周期常常长达数周甚至数月，这是敏捷开发团队的噩梦。</w:t>
      </w:r>
    </w:p>
    <w:p>
      <w:pPr>
        <w:numPr>
          <w:numId w:val="14"/>
        </w:numPr>
        <w:spacing w:before="120" w:after="120" w:line="288" w:lineRule="auto"/>
        <w:ind w:left="0"/>
        <w:jc w:val="left"/>
      </w:pPr>
      <w:r>
        <w:rPr>
          <w:rFonts w:eastAsia="等线" w:ascii="Arial" w:cs="Arial" w:hAnsi="Arial"/>
          <w:b w:val="true"/>
          <w:sz w:val="22"/>
        </w:rPr>
        <w:t>产品破局点（Pre-compliance Pipeline）</w:t>
      </w:r>
      <w:r>
        <w:rPr>
          <w:rFonts w:eastAsia="等线" w:ascii="Arial" w:cs="Arial" w:hAnsi="Arial"/>
          <w:sz w:val="22"/>
        </w:rPr>
        <w:t>：Lex 应该主打一个心智——</w:t>
      </w:r>
      <w:r>
        <w:rPr>
          <w:rFonts w:eastAsia="等线" w:ascii="Arial" w:cs="Arial" w:hAnsi="Arial"/>
          <w:b w:val="true"/>
          <w:sz w:val="22"/>
          <w:shd w:fill="fff67a"/>
        </w:rPr>
        <w:t>“让合规与开发并行”</w:t>
      </w:r>
      <w:r>
        <w:rPr>
          <w:rFonts w:eastAsia="等线" w:ascii="Arial" w:cs="Arial" w:hAnsi="Arial"/>
          <w:sz w:val="22"/>
          <w:shd w:fill="fff67a"/>
        </w:rPr>
        <w:t>。</w:t>
      </w:r>
    </w:p>
    <w:p>
      <w:pPr>
        <w:numPr>
          <w:numId w:val="15"/>
        </w:numPr>
        <w:spacing w:before="120" w:after="120" w:line="288" w:lineRule="auto"/>
        <w:ind w:left="0"/>
        <w:jc w:val="left"/>
      </w:pPr>
      <w:r>
        <w:rPr>
          <w:rFonts w:eastAsia="等线" w:ascii="Arial" w:cs="Arial" w:hAnsi="Arial"/>
          <w:sz w:val="22"/>
        </w:rPr>
        <w:t>在产品 Day 1 设计期，Lex 识别出需要“算法备案”后，直接生成“ Mock 备案材料包”。开发者可以在代码还没写完时，直接拿着 Lex 生成的系统架构图、算法自评估报告草案去跑合规流程或园区预审。</w:t>
      </w:r>
      <w:r>
        <w:rPr>
          <w:rFonts w:eastAsia="等线" w:ascii="Arial" w:cs="Arial" w:hAnsi="Arial"/>
          <w:b w:val="true"/>
          <w:sz w:val="22"/>
        </w:rPr>
        <w:t>用产品化手段帮团队“偷出”三个月的时间差。</w:t>
      </w:r>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sz w:val="22"/>
        </w:rPr>
        <w:t>出具风险报告，不能让创业者随便聊，可以给他们一些10个问题的提示，引导他们聊；以及说深度调研后，追问补充几个问题</w:t>
      </w:r>
    </w:p>
    <w:p>
      <w:pPr>
        <w:numPr>
          <w:numId w:val="17"/>
        </w:numPr>
        <w:spacing w:before="120" w:after="120" w:line="288" w:lineRule="auto"/>
        <w:ind w:left="0"/>
        <w:jc w:val="left"/>
      </w:pPr>
      <w:r>
        <w:rPr>
          <w:rFonts w:eastAsia="等线" w:ascii="Arial" w:cs="Arial" w:hAnsi="Arial"/>
          <w:sz w:val="22"/>
        </w:rPr>
        <w:t>讲清楚我们demo的叙事，也要讲未来的全景开发能力</w:t>
      </w:r>
    </w:p>
    <w:p>
      <w:pPr>
        <w:numPr>
          <w:numId w:val="18"/>
        </w:numPr>
        <w:spacing w:before="120" w:after="120" w:line="288" w:lineRule="auto"/>
        <w:ind w:left="0"/>
        <w:jc w:val="left"/>
      </w:pPr>
      <w:r>
        <w:rPr>
          <w:rFonts w:eastAsia="等线" w:ascii="Arial" w:cs="Arial" w:hAnsi="Arial"/>
          <w:sz w:val="22"/>
          <w:shd w:fill="fff67a"/>
        </w:rPr>
        <w:t>商业化要讲吗</w:t>
      </w:r>
      <w:r>
        <w:rPr>
          <w:rFonts w:eastAsia="等线" w:ascii="Arial" w:cs="Arial" w:hAnsi="Arial"/>
          <w:b w:val="true"/>
          <w:sz w:val="22"/>
          <w:shd w:fill="fff67a"/>
        </w:rPr>
        <w:t>【孵化园区购买，作为入驻OPC的福利；OPC、个人创业者自己购买；嵌入成熟企业的流程（快速开发与迭代类企业）】</w:t>
      </w:r>
    </w:p>
    <w:p>
      <w:pPr>
        <w:spacing w:before="120" w:after="120" w:line="288" w:lineRule="auto"/>
        <w:ind w:left="0"/>
        <w:jc w:val="left"/>
      </w:pPr>
      <w:r>
        <w:rPr>
          <w:rFonts w:eastAsia="等线" w:ascii="Arial" w:cs="Arial" w:hAnsi="Arial"/>
          <w:sz w:val="22"/>
        </w:rPr>
        <w:t>层级1：OPC园区/孵化器（B2B2C）—— 获客引擎</w:t>
      </w:r>
      <w:r>
        <w:rPr>
          <w:rFonts w:eastAsia="等线" w:ascii="Arial" w:cs="Arial" w:hAnsi="Arial"/>
          <w:sz w:val="22"/>
        </w:rPr>
        <w:t xml:space="preserve"> </w:t>
      </w:r>
      <w:r>
        <w:rPr>
          <w:rFonts w:eastAsia="等线" w:ascii="Arial" w:cs="Arial" w:hAnsi="Arial"/>
          <w:sz w:val="22"/>
          <w:shd w:fill="fff67a"/>
        </w:rPr>
        <w:t>【待考虑】</w:t>
      </w:r>
    </w:p>
    <w:p>
      <w:pPr>
        <w:spacing w:before="120" w:after="120" w:line="288" w:lineRule="auto"/>
        <w:ind w:left="0"/>
        <w:jc w:val="left"/>
      </w:pPr>
      <w:r>
        <w:rPr>
          <w:rFonts w:eastAsia="等线" w:ascii="Arial" w:cs="Arial" w:hAnsi="Arial"/>
          <w:sz w:val="22"/>
        </w:rPr>
        <w:t>层级2：个人创业者/小团队（B2C）—— 基础收入</w:t>
      </w:r>
    </w:p>
    <w:p>
      <w:pPr>
        <w:spacing w:before="120" w:after="120" w:line="288" w:lineRule="auto"/>
        <w:ind w:left="0"/>
        <w:jc w:val="left"/>
      </w:pPr>
      <w:r>
        <w:rPr>
          <w:rFonts w:eastAsia="等线" w:ascii="Arial" w:cs="Arial" w:hAnsi="Arial"/>
          <w:sz w:val="22"/>
        </w:rPr>
        <w:t>层级3：成熟企业/快速迭代企业（B2B）—— 高客单价</w:t>
      </w:r>
    </w:p>
    <w:p>
      <w:pPr>
        <w:spacing w:before="120" w:after="120" w:line="288" w:lineRule="auto"/>
        <w:ind w:left="0"/>
        <w:jc w:val="left"/>
      </w:pPr>
      <w:r>
        <w:rPr>
          <w:rFonts w:eastAsia="等线" w:ascii="Arial" w:cs="Arial" w:hAnsi="Arial"/>
          <w:sz w:val="22"/>
        </w:rPr>
        <w:t>商业化叙事：先通过OPC园区建立信任和网络效应，再向上收割高客单价企业客户。</w:t>
      </w:r>
    </w:p>
    <w:p>
      <w:pPr>
        <w:numPr>
          <w:numId w:val="19"/>
        </w:numPr>
        <w:spacing w:before="120" w:after="120" w:line="288" w:lineRule="auto"/>
        <w:ind w:left="0"/>
        <w:jc w:val="left"/>
      </w:pPr>
      <w:r>
        <w:rPr>
          <w:rFonts w:eastAsia="等线" w:ascii="Arial" w:cs="Arial" w:hAnsi="Arial"/>
          <w:sz w:val="22"/>
        </w:rPr>
        <w:t>讲清楚什么地方是套壳调用的，什么地方是我们的知识和特有的专业成果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技术实现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竞争壁垒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结构化规则引擎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自研的法规判定逻辑，确定性结论不依赖LLM概率生成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需要法律专家+工程师长期共建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法规知识库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覆盖中国核心AI法规的向量化数据库，支持RAG检索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持续更新成本极高，新进入者难以追赶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行业场景模板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教育/医疗/招聘等垂直场景的预置合规方案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需要行业深耕和案例积累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决策留痕系统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完整的合规时间线、审计日志、证据链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企业级合规的基础设施要求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模板引擎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动态变量替换+条件分支（如"若收集人脸则增加生物识别条款"）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法律文本的工程化能力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三备案联动逻辑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ICP→算法→生成式AI的时序依赖和材料关联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对国内监管流程的深度理解</w:t>
            </w:r>
          </w:p>
        </w:tc>
      </w:tr>
    </w:tbl>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文档的新增环节【讨论】</w:t>
      </w:r>
      <w:bookmarkEnd w:id="3"/>
    </w:p>
    <w:p>
      <w:pPr>
        <w:numPr>
          <w:numId w:val="20"/>
        </w:numPr>
        <w:spacing w:before="120" w:after="120" w:line="288" w:lineRule="auto"/>
        <w:ind w:left="0"/>
        <w:jc w:val="left"/>
      </w:pPr>
      <w:r>
        <w:rPr>
          <w:rFonts w:eastAsia="等线" w:ascii="Arial" w:cs="Arial" w:hAnsi="Arial"/>
          <w:sz w:val="22"/>
        </w:rPr>
        <w:t>【验收标准】文档新增，技术壁垒章节。哪些能力基于通用 AI API（可直接标注）vs 哪些是我们独有的</w:t>
      </w:r>
      <w:r>
        <w:rPr>
          <w:rFonts w:eastAsia="等线" w:ascii="Arial" w:cs="Arial" w:hAnsi="Arial"/>
          <w:b w:val="true"/>
          <w:sz w:val="22"/>
        </w:rPr>
        <w:t>知识体系建设成果</w:t>
      </w:r>
      <w:r>
        <w:rPr>
          <w:rFonts w:eastAsia="等线" w:ascii="Arial" w:cs="Arial" w:hAnsi="Arial"/>
          <w:sz w:val="22"/>
        </w:rPr>
        <w:t>（如法规规则库、行业场景模板库、评审问卷库等）。这是应对“不过就是套壳”质疑的关键。</w:t>
      </w:r>
    </w:p>
    <w:p>
      <w:pPr>
        <w:numPr>
          <w:numId w:val="21"/>
        </w:numPr>
        <w:spacing w:before="120" w:after="120" w:line="288" w:lineRule="auto"/>
        <w:ind w:left="0"/>
        <w:jc w:val="left"/>
      </w:pPr>
      <w:r>
        <w:rPr>
          <w:rFonts w:eastAsia="等线" w:ascii="Arial" w:cs="Arial" w:hAnsi="Arial"/>
          <w:sz w:val="22"/>
        </w:rPr>
        <w:t>《人工智能科技伦理审查与服务办法（试行）》释放的关键信号：监管重心正从静态的数据与内容治理，前移至系统行动本身的过程可控。</w:t>
      </w:r>
    </w:p>
    <w:p>
      <w:pPr>
        <w:spacing w:before="120" w:after="120" w:line="288" w:lineRule="auto"/>
        <w:ind w:left="0"/>
        <w:jc w:val="center"/>
      </w:pPr>
      <w:r>
        <w:drawing>
          <wp:inline distT="0" distR="0" distB="0" distL="0">
            <wp:extent cx="5257800" cy="3543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3543300"/>
                    </a:xfrm>
                    <a:prstGeom prst="rect">
                      <a:avLst/>
                    </a:prstGeom>
                  </pic:spPr>
                </pic:pic>
              </a:graphicData>
            </a:graphic>
          </wp:inline>
        </w:drawing>
      </w:r>
    </w:p>
    <w:p>
      <w:pPr>
        <w:numPr>
          <w:numId w:val="22"/>
        </w:numPr>
        <w:spacing w:before="120" w:after="120" w:line="288" w:lineRule="auto"/>
        <w:ind w:left="0"/>
        <w:jc w:val="left"/>
      </w:pPr>
      <w:r>
        <w:rPr>
          <w:rFonts w:eastAsia="等线" w:ascii="Arial" w:cs="Arial" w:hAnsi="Arial"/>
          <w:sz w:val="22"/>
        </w:rPr>
        <w:t>自主操作型AI的特定协议条款</w:t>
      </w:r>
    </w:p>
    <w:p>
      <w:pPr>
        <w:numPr>
          <w:numId w:val="23"/>
        </w:numPr>
        <w:spacing w:before="120" w:after="120" w:line="288" w:lineRule="auto"/>
        <w:ind w:left="0"/>
        <w:jc w:val="left"/>
      </w:pPr>
      <w:r>
        <w:rPr>
          <w:rFonts w:eastAsia="等线" w:ascii="Arial" w:cs="Arial" w:hAnsi="Arial"/>
          <w:sz w:val="22"/>
        </w:rPr>
        <w:t>风险问题：隔离我们自己产品的风险，一方面是隔离使用我们产品的创业者风险</w:t>
      </w:r>
      <w:r>
        <w:rPr>
          <w:rFonts w:eastAsia="等线" w:ascii="Arial" w:cs="Arial" w:hAnsi="Arial"/>
          <w:b w:val="true"/>
          <w:sz w:val="22"/>
        </w:rPr>
        <w:t>【私网隔离，办公网，开发网，测试网】</w:t>
      </w:r>
    </w:p>
    <w:p>
      <w:pPr>
        <w:numPr>
          <w:numId w:val="24"/>
        </w:numPr>
        <w:spacing w:before="120" w:after="120" w:line="288" w:lineRule="auto"/>
        <w:ind w:left="0"/>
        <w:jc w:val="left"/>
      </w:pPr>
      <w:r>
        <w:rPr>
          <w:rFonts w:eastAsia="等线" w:ascii="Arial" w:cs="Arial" w:hAnsi="Arial"/>
          <w:b w:val="true"/>
          <w:sz w:val="22"/>
        </w:rPr>
        <w:t>在产品里加入"合规日历"功能：✅️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你的产品计划 2025-09-01 上线</w:t>
              <w:br/>
              <w:t>系统建议时间线：</w:t>
              <w:br/>
              <w:br/>
              <w:t>2025-06-01 ✅ 完成 PART A 风险评估</w:t>
              <w:br/>
              <w:t>2025-06-15 ✅ 完成 PART B 开发期评审</w:t>
              <w:br/>
              <w:t>2025-07-01 ⚠️ 开始 ICP 备案申请（预计20工作日）</w:t>
              <w:br/>
              <w:t>2025-07-15 ⚠️ 提交算法备案（如触发）</w:t>
              <w:br/>
              <w:t>2025-08-01 ⚠️ 生成 App 上架材料包，提交应用商店预审</w:t>
              <w:br/>
              <w:t>2025-08-15 ⚠️ 预留应用商店审核时间</w:t>
              <w:br/>
            </w:r>
            <w:r>
              <w:rPr>
                <w:rFonts w:eastAsia="Consolas" w:ascii="Consolas" w:cs="Consolas" w:hAnsi="Consolas"/>
                <w:sz w:val="22"/>
              </w:rPr>
              <w:t>2025-09-01 🎯 目标上线日期</w:t>
            </w:r>
          </w:p>
        </w:tc>
      </w:tr>
    </w:tbl>
    <w:p>
      <w:pPr>
        <w:spacing w:before="120" w:after="120" w:line="288" w:lineRule="auto"/>
        <w:ind w:left="0"/>
        <w:jc w:val="left"/>
      </w:pPr>
      <w:r>
        <w:rPr>
          <w:rFonts w:eastAsia="等线" w:ascii="Arial" w:cs="Arial" w:hAnsi="Arial"/>
          <w:sz w:val="22"/>
        </w:rPr>
        <w:t>这个功能能把 Lex 从"事后用"变成"全程陪伴"，显著提升产品粘性。</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【5.31记录】</w:t>
      </w:r>
      <w:bookmarkEnd w:id="4"/>
    </w:p>
    <w:p>
      <w:pPr>
        <w:spacing w:before="120" w:after="120" w:line="288" w:lineRule="auto"/>
        <w:ind w:left="0"/>
        <w:jc w:val="left"/>
      </w:pPr>
      <w:r>
        <w:rPr>
          <w:rFonts w:eastAsia="等线" w:ascii="Arial" w:cs="Arial" w:hAnsi="Arial"/>
          <w:sz w:val="22"/>
        </w:rPr>
        <w:t>行业，把概念提出来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文书生成，模板的是基础的管理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要跟开发者，小型的中型的，实际的开发流程；事前评审事后审计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核心价值，政策，不要违反大的法律原则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对齐，</w:t>
      </w:r>
    </w:p>
    <w:p>
      <w:pPr>
        <w:spacing w:before="120" w:after="120" w:line="288" w:lineRule="auto"/>
        <w:ind w:left="0"/>
        <w:jc w:val="left"/>
      </w:pPr>
      <w:r>
        <w:rPr>
          <w:rFonts w:eastAsia="等线" w:ascii="Arial" w:cs="Arial" w:hAnsi="Arial"/>
          <w:sz w:val="22"/>
        </w:rPr>
        <w:t>路演bp，有些人详细一点，提示自己的产品风险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中型企业，开发环境会允许这些插件吗</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架构上技术实现，调研，mvp版本，至少看起来要像我的开发逻辑；</w:t>
      </w:r>
    </w:p>
    <w:p>
      <w:pPr>
        <w:numPr>
          <w:numId w:val="26"/>
        </w:numPr>
        <w:spacing w:before="120" w:after="120" w:line="288" w:lineRule="auto"/>
        <w:ind w:left="0"/>
        <w:jc w:val="left"/>
      </w:pPr>
      <w:r>
        <w:rPr>
          <w:rFonts w:eastAsia="等线" w:ascii="Arial" w:cs="Arial" w:hAnsi="Arial"/>
          <w:sz w:val="22"/>
        </w:rPr>
        <w:t>法律知识库搭建</w:t>
      </w:r>
      <w:r>
        <w:rPr>
          <w:rFonts w:eastAsia="等线" w:ascii="Arial" w:cs="Arial" w:hAnsi="Arial"/>
          <w:b w:val="true"/>
          <w:sz w:val="22"/>
        </w:rPr>
        <w:t>【蕾姐，网络安全和开发安全】</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传统开发视角出发，结构化的开发方法，技术上是怎么实现的，会看到功能界面；给自己看，功能点对应的是哪个技术的实现（先把功能写出来，再开发）；</w:t>
      </w:r>
    </w:p>
    <w:p>
      <w:pPr>
        <w:numPr>
          <w:numId w:val="28"/>
        </w:numPr>
        <w:spacing w:before="120" w:after="120" w:line="288" w:lineRule="auto"/>
        <w:ind w:left="0"/>
        <w:jc w:val="left"/>
      </w:pPr>
      <w:r>
        <w:rPr>
          <w:rFonts w:eastAsia="等线" w:ascii="Arial" w:cs="Arial" w:hAnsi="Arial"/>
          <w:sz w:val="22"/>
        </w:rPr>
        <w:t>产品打磨的更像给AI开发者用的，产品形态做成什么样的；</w:t>
      </w:r>
    </w:p>
    <w:p>
      <w:pPr>
        <w:numPr>
          <w:numId w:val="29"/>
        </w:numPr>
        <w:spacing w:before="120" w:after="120" w:line="288" w:lineRule="auto"/>
        <w:ind w:left="0"/>
        <w:jc w:val="left"/>
      </w:pPr>
      <w:r>
        <w:rPr>
          <w:rFonts w:eastAsia="等线" w:ascii="Arial" w:cs="Arial" w:hAnsi="Arial"/>
          <w:sz w:val="22"/>
        </w:rPr>
        <w:t>调研demo，吸引AI创业者眼球，就开始迭代。</w:t>
      </w:r>
    </w:p>
    <w:p>
      <w:pPr>
        <w:pStyle w:val="1"/>
        <w:spacing w:before="380" w:after="140" w:line="288" w:lineRule="auto"/>
        <w:ind w:left="0"/>
        <w:jc w:val="left"/>
        <w:outlineLvl w:val="0"/>
      </w:pPr>
      <w:bookmarkStart w:name="heading_5" w:id="5"/>
      <w:r>
        <w:rPr>
          <w:rFonts w:eastAsia="等线" w:ascii="Arial" w:cs="Arial" w:hAnsi="Arial"/>
          <w:b w:val="true"/>
          <w:sz w:val="36"/>
        </w:rPr>
        <w:t>【蕾姐更新】</w:t>
      </w:r>
      <w:bookmarkEnd w:id="5"/>
    </w:p>
    <w:p>
      <w:pPr>
        <w:spacing w:before="120" w:after="120" w:line="288" w:lineRule="auto"/>
        <w:ind w:left="0"/>
        <w:jc w:val="left"/>
      </w:pPr>
      <w:r>
        <w:rPr>
          <w:rFonts w:eastAsia="等线" w:ascii="Arial" w:cs="Arial" w:hAnsi="Arial"/>
          <w:sz w:val="22"/>
        </w:rPr>
        <w:t>详见黄色标注的部分，</w:t>
      </w:r>
    </w:p>
    <w:p>
      <w:pPr>
        <w:spacing w:before="120" w:after="120" w:line="288" w:lineRule="auto"/>
        <w:ind w:left="0"/>
        <w:jc w:val="left"/>
      </w:pPr>
      <w:r>
        <w:rPr>
          <w:rFonts w:eastAsia="等线" w:ascii="Arial" w:cs="Arial" w:hAnsi="Arial"/>
          <w:sz w:val="22"/>
        </w:rPr>
        <w:t>涉及到法律知识库，3日内提供国内涉及到数据合规、AI、信息方面的法律法规。</w:t>
      </w: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1978">
    <w:lvl>
      <w:start w:val="1"/>
      <w:numFmt w:val="decimal"/>
      <w:suff w:val="tab"/>
      <w:lvlText w:val="%1."/>
      <w:rPr>
        <w:color w:val="3370ff"/>
      </w:rPr>
    </w:lvl>
  </w:abstractNum>
  <w:abstractNum w:abstractNumId="311979">
    <w:lvl>
      <w:start w:val="2"/>
      <w:numFmt w:val="decimal"/>
      <w:suff w:val="tab"/>
      <w:lvlText w:val="%1."/>
      <w:rPr>
        <w:color w:val="3370ff"/>
      </w:rPr>
    </w:lvl>
  </w:abstractNum>
  <w:abstractNum w:abstractNumId="311980">
    <w:lvl>
      <w:numFmt w:val="bullet"/>
      <w:suff w:val="tab"/>
      <w:lvlText w:val="•"/>
      <w:rPr>
        <w:color w:val="3370ff"/>
      </w:rPr>
    </w:lvl>
  </w:abstractNum>
  <w:abstractNum w:abstractNumId="311981">
    <w:lvl>
      <w:numFmt w:val="bullet"/>
      <w:suff w:val="tab"/>
      <w:lvlText w:val="•"/>
      <w:rPr>
        <w:color w:val="3370ff"/>
      </w:rPr>
    </w:lvl>
  </w:abstractNum>
  <w:abstractNum w:abstractNumId="311982">
    <w:lvl>
      <w:numFmt w:val="bullet"/>
      <w:suff w:val="tab"/>
      <w:lvlText w:val="•"/>
      <w:rPr>
        <w:color w:val="3370ff"/>
      </w:rPr>
    </w:lvl>
  </w:abstractNum>
  <w:abstractNum w:abstractNumId="311983">
    <w:lvl>
      <w:start w:val="3"/>
      <w:numFmt w:val="decimal"/>
      <w:suff w:val="tab"/>
      <w:lvlText w:val="%1."/>
      <w:rPr>
        <w:color w:val="3370ff"/>
      </w:rPr>
    </w:lvl>
  </w:abstractNum>
  <w:abstractNum w:abstractNumId="311984">
    <w:lvl>
      <w:start w:val="1"/>
      <w:numFmt w:val="decimal"/>
      <w:suff w:val="tab"/>
      <w:lvlText w:val="%1."/>
      <w:rPr>
        <w:color w:val="3370ff"/>
      </w:rPr>
    </w:lvl>
  </w:abstractNum>
  <w:abstractNum w:abstractNumId="311985">
    <w:lvl>
      <w:start w:val="2"/>
      <w:numFmt w:val="decimal"/>
      <w:suff w:val="tab"/>
      <w:lvlText w:val="%1."/>
      <w:rPr>
        <w:color w:val="3370ff"/>
      </w:rPr>
    </w:lvl>
  </w:abstractNum>
  <w:abstractNum w:abstractNumId="311986">
    <w:lvl>
      <w:start w:val="3"/>
      <w:numFmt w:val="decimal"/>
      <w:suff w:val="tab"/>
      <w:lvlText w:val="%1."/>
      <w:rPr>
        <w:color w:val="3370ff"/>
      </w:rPr>
    </w:lvl>
  </w:abstractNum>
  <w:abstractNum w:abstractNumId="311987">
    <w:lvl>
      <w:start w:val="4"/>
      <w:numFmt w:val="decimal"/>
      <w:suff w:val="tab"/>
      <w:lvlText w:val="%1."/>
      <w:rPr>
        <w:color w:val="3370ff"/>
      </w:rPr>
    </w:lvl>
  </w:abstractNum>
  <w:abstractNum w:abstractNumId="311988">
    <w:lvl>
      <w:start w:val="5"/>
      <w:numFmt w:val="decimal"/>
      <w:suff w:val="tab"/>
      <w:lvlText w:val="%1."/>
      <w:rPr>
        <w:color w:val="3370ff"/>
      </w:rPr>
    </w:lvl>
  </w:abstractNum>
  <w:abstractNum w:abstractNumId="311989">
    <w:lvl>
      <w:start w:val="1"/>
      <w:numFmt w:val="decimal"/>
      <w:suff w:val="tab"/>
      <w:lvlText w:val="%1."/>
      <w:rPr>
        <w:color w:val="3370ff"/>
      </w:rPr>
    </w:lvl>
  </w:abstractNum>
  <w:abstractNum w:abstractNumId="311990">
    <w:lvl>
      <w:start w:val="2"/>
      <w:numFmt w:val="decimal"/>
      <w:suff w:val="tab"/>
      <w:lvlText w:val="%1."/>
      <w:rPr>
        <w:color w:val="3370ff"/>
      </w:rPr>
    </w:lvl>
  </w:abstractNum>
  <w:abstractNum w:abstractNumId="311991">
    <w:lvl>
      <w:numFmt w:val="bullet"/>
      <w:suff w:val="tab"/>
      <w:lvlText w:val="•"/>
      <w:rPr>
        <w:color w:val="3370ff"/>
      </w:rPr>
    </w:lvl>
  </w:abstractNum>
  <w:abstractNum w:abstractNumId="311992">
    <w:lvl>
      <w:numFmt w:val="bullet"/>
      <w:suff w:val="tab"/>
      <w:lvlText w:val="•"/>
      <w:rPr>
        <w:color w:val="3370ff"/>
      </w:rPr>
    </w:lvl>
  </w:abstractNum>
  <w:abstractNum w:abstractNumId="311993">
    <w:lvl>
      <w:start w:val="3"/>
      <w:numFmt w:val="decimal"/>
      <w:suff w:val="tab"/>
      <w:lvlText w:val="%1."/>
      <w:rPr>
        <w:color w:val="3370ff"/>
      </w:rPr>
    </w:lvl>
  </w:abstractNum>
  <w:abstractNum w:abstractNumId="311994">
    <w:lvl>
      <w:start w:val="4"/>
      <w:numFmt w:val="decimal"/>
      <w:suff w:val="tab"/>
      <w:lvlText w:val="%1."/>
      <w:rPr>
        <w:color w:val="3370ff"/>
      </w:rPr>
    </w:lvl>
  </w:abstractNum>
  <w:abstractNum w:abstractNumId="311995">
    <w:lvl>
      <w:start w:val="5"/>
      <w:numFmt w:val="decimal"/>
      <w:suff w:val="tab"/>
      <w:lvlText w:val="%1."/>
      <w:rPr>
        <w:color w:val="3370ff"/>
      </w:rPr>
    </w:lvl>
  </w:abstractNum>
  <w:abstractNum w:abstractNumId="311996">
    <w:lvl>
      <w:start w:val="6"/>
      <w:numFmt w:val="decimal"/>
      <w:suff w:val="tab"/>
      <w:lvlText w:val="%1."/>
      <w:rPr>
        <w:color w:val="3370ff"/>
      </w:rPr>
    </w:lvl>
  </w:abstractNum>
  <w:abstractNum w:abstractNumId="311997">
    <w:lvl>
      <w:start w:val="1"/>
      <w:numFmt w:val="decimal"/>
      <w:suff w:val="tab"/>
      <w:lvlText w:val="%1."/>
      <w:rPr>
        <w:color w:val="3370ff"/>
      </w:rPr>
    </w:lvl>
  </w:abstractNum>
  <w:abstractNum w:abstractNumId="311998">
    <w:lvl>
      <w:start w:val="2"/>
      <w:numFmt w:val="decimal"/>
      <w:suff w:val="tab"/>
      <w:lvlText w:val="%1."/>
      <w:rPr>
        <w:color w:val="3370ff"/>
      </w:rPr>
    </w:lvl>
  </w:abstractNum>
  <w:abstractNum w:abstractNumId="311999">
    <w:lvl>
      <w:start w:val="3"/>
      <w:numFmt w:val="decimal"/>
      <w:suff w:val="tab"/>
      <w:lvlText w:val="%1."/>
      <w:rPr>
        <w:color w:val="3370ff"/>
      </w:rPr>
    </w:lvl>
  </w:abstractNum>
  <w:abstractNum w:abstractNumId="312000">
    <w:lvl>
      <w:start w:val="4"/>
      <w:numFmt w:val="decimal"/>
      <w:suff w:val="tab"/>
      <w:lvlText w:val="%1."/>
      <w:rPr>
        <w:color w:val="3370ff"/>
      </w:rPr>
    </w:lvl>
  </w:abstractNum>
  <w:abstractNum w:abstractNumId="312001">
    <w:lvl>
      <w:start w:val="5"/>
      <w:numFmt w:val="decimal"/>
      <w:suff w:val="tab"/>
      <w:lvlText w:val="%1."/>
      <w:rPr>
        <w:color w:val="3370ff"/>
      </w:rPr>
    </w:lvl>
  </w:abstractNum>
  <w:abstractNum w:abstractNumId="312002">
    <w:lvl>
      <w:start w:val="1"/>
      <w:numFmt w:val="decimal"/>
      <w:suff w:val="tab"/>
      <w:lvlText w:val="%1."/>
      <w:rPr>
        <w:color w:val="3370ff"/>
      </w:rPr>
    </w:lvl>
  </w:abstractNum>
  <w:abstractNum w:abstractNumId="312003">
    <w:lvl>
      <w:start w:val="2"/>
      <w:numFmt w:val="decimal"/>
      <w:suff w:val="tab"/>
      <w:lvlText w:val="%1."/>
      <w:rPr>
        <w:color w:val="3370ff"/>
      </w:rPr>
    </w:lvl>
  </w:abstractNum>
  <w:abstractNum w:abstractNumId="312004">
    <w:lvl>
      <w:start w:val="3"/>
      <w:numFmt w:val="decimal"/>
      <w:suff w:val="tab"/>
      <w:lvlText w:val="%1."/>
      <w:rPr>
        <w:color w:val="3370ff"/>
      </w:rPr>
    </w:lvl>
  </w:abstractNum>
  <w:abstractNum w:abstractNumId="312005">
    <w:lvl>
      <w:start w:val="4"/>
      <w:numFmt w:val="decimal"/>
      <w:suff w:val="tab"/>
      <w:lvlText w:val="%1."/>
      <w:rPr>
        <w:color w:val="3370ff"/>
      </w:rPr>
    </w:lvl>
  </w:abstractNum>
  <w:abstractNum w:abstractNumId="312006">
    <w:lvl>
      <w:start w:val="5"/>
      <w:numFmt w:val="decimal"/>
      <w:suff w:val="tab"/>
      <w:lvlText w:val="%1."/>
      <w:rPr>
        <w:color w:val="3370ff"/>
      </w:rPr>
    </w:lvl>
  </w:abstractNum>
  <w:num w:numId="1">
    <w:abstractNumId w:val="311978"/>
  </w:num>
  <w:num w:numId="2">
    <w:abstractNumId w:val="311979"/>
  </w:num>
  <w:num w:numId="3">
    <w:abstractNumId w:val="311980"/>
  </w:num>
  <w:num w:numId="4">
    <w:abstractNumId w:val="311981"/>
  </w:num>
  <w:num w:numId="5">
    <w:abstractNumId w:val="311982"/>
  </w:num>
  <w:num w:numId="6">
    <w:abstractNumId w:val="311983"/>
  </w:num>
  <w:num w:numId="7">
    <w:abstractNumId w:val="311984"/>
  </w:num>
  <w:num w:numId="8">
    <w:abstractNumId w:val="311985"/>
  </w:num>
  <w:num w:numId="9">
    <w:abstractNumId w:val="311986"/>
  </w:num>
  <w:num w:numId="10">
    <w:abstractNumId w:val="311987"/>
  </w:num>
  <w:num w:numId="11">
    <w:abstractNumId w:val="311988"/>
  </w:num>
  <w:num w:numId="12">
    <w:abstractNumId w:val="311989"/>
  </w:num>
  <w:num w:numId="13">
    <w:abstractNumId w:val="311990"/>
  </w:num>
  <w:num w:numId="14">
    <w:abstractNumId w:val="311991"/>
  </w:num>
  <w:num w:numId="15">
    <w:abstractNumId w:val="311992"/>
  </w:num>
  <w:num w:numId="16">
    <w:abstractNumId w:val="311993"/>
  </w:num>
  <w:num w:numId="17">
    <w:abstractNumId w:val="311994"/>
  </w:num>
  <w:num w:numId="18">
    <w:abstractNumId w:val="311995"/>
  </w:num>
  <w:num w:numId="19">
    <w:abstractNumId w:val="311996"/>
  </w:num>
  <w:num w:numId="20">
    <w:abstractNumId w:val="311997"/>
  </w:num>
  <w:num w:numId="21">
    <w:abstractNumId w:val="311998"/>
  </w:num>
  <w:num w:numId="22">
    <w:abstractNumId w:val="311999"/>
  </w:num>
  <w:num w:numId="23">
    <w:abstractNumId w:val="312000"/>
  </w:num>
  <w:num w:numId="24">
    <w:abstractNumId w:val="312001"/>
  </w:num>
  <w:num w:numId="25">
    <w:abstractNumId w:val="312002"/>
  </w:num>
  <w:num w:numId="26">
    <w:abstractNumId w:val="312003"/>
  </w:num>
  <w:num w:numId="27">
    <w:abstractNumId w:val="312004"/>
  </w:num>
  <w:num w:numId="28">
    <w:abstractNumId w:val="312005"/>
  </w:num>
  <w:num w:numId="29">
    <w:abstractNumId w:val="3120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2026-06-02T13:40:18Z</dcterms:created>
  <dc:creator>Apache POI</dc:creator>
</cp:coreProperties>
</file>