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Draft Cover Letter for Computers &amp; Geosciences</w:t>
      </w:r>
    </w:p>
    <w:p/>
    <w:p>
      <w:r>
        <w:t>Dear Editors,</w:t>
      </w:r>
    </w:p>
    <w:p/>
    <w:p>
      <w:r>
        <w:t>Please consider our manuscript entitled A Reproducible DINOv2 Workflow for Low-Shot Remote Sensing Classification for publication in Computers &amp; Geosciences.</w:t>
      </w:r>
    </w:p>
    <w:p/>
    <w:p>
      <w:r>
        <w:t>This manuscript addresses a practical geocomputing problem: scarce-label remote sensing scene classification under public-data, fixed-protocol evaluation. Rather than proposing another scene-classification architecture, we contribute a reproducible geocomputing workflow that couples DINOv2-Base selective adaptation with persistent split manifests, scriptable multi-seed aggregation, and manuscript-rebuild assets.</w:t>
      </w:r>
    </w:p>
    <w:p/>
    <w:p>
      <w:r>
        <w:t>The submission is particularly suited to Computers &amp; Geosciences for three reasons. First, the work targets geospatial image analysis on public remote sensing benchmarks under an explicitly documented protocol. Second, the central contribution is a reusable and auditable computational workflow rather than architecture-only benchmarking. Third, the code, configuration, manifests, and reproduction assets are publicly available at https://github.com/2446099877/paper_q2_cageo under the MIT License, with a reviewer-safe archive retained for inspection convenience.</w:t>
      </w:r>
    </w:p>
    <w:p/>
    <w:p>
      <w:r>
        <w:t>Under one fixed class-balanced protocol, the workflow improves mean overall accuracy on AID from 0.9179 to 0.9413 and yields a smaller positive shift on NWPU-RESISC45 from 0.8721 to 0.8790. We present these results as matched-protocol workflow evidence rather than as universal performance claims. Same-backbone ablations further show that selective finetuning provides the primary gain, while the adapter mainly improves stability and the feature-center regularizer mainly improves mean performance under the current protocol.</w:t>
      </w:r>
    </w:p>
    <w:p/>
    <w:p>
      <w:r>
        <w:t>To support editorial and reviewer inspection, we provide a public repository and a reviewer-safe code packet containing split manifests, experiment scripts, configurations, source modules, generated manuscript tables, and reproduction notes. The manuscript's Code availability section points directly to that live repository.</w:t>
      </w:r>
    </w:p>
    <w:p/>
    <w:p>
      <w:r>
        <w:t>This manuscript has not been published previously and is not under consideration elsewhere. The author has approved the manuscript and agrees with its submission to Computers &amp; Geosciences.</w:t>
      </w:r>
    </w:p>
    <w:p/>
    <w:p>
      <w:r>
        <w:t>Sincerely,</w:t>
      </w:r>
    </w:p>
    <w:p/>
    <w:p>
      <w:r>
        <w:t>Chao Hou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