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Bdr>
          <w:top w:val="single" w:sz="18" w:space="6" w:color="C00000"/>
          <w:left w:val="single" w:sz="18" w:space="6" w:color="C00000"/>
          <w:bottom w:val="single" w:sz="18" w:space="6" w:color="C00000"/>
          <w:right w:val="single" w:sz="18" w:space="6" w:color="C00000"/>
        </w:pBdr>
        <w:shd w:val="clear" w:color="auto" w:fill="FFF5F5"/>
      </w:pPr>
      <w:r>
        <w:rPr>
          <w:rFonts w:ascii="SimHei" w:hAnsi="SimHei" w:eastAsia="SimHei"/>
          <w:b/>
          <w:sz w:val="24"/>
          <w:color w:val="C00000"/>
        </w:rPr>
        <w:t>【学术完整性脚手架警告 (SCAFFOLD DRAFT)】</w:t>
        <w:br/>
        <w:t>本文档处于脚手架起草阶段，第四章实验数据采用 \TODO{} 占位符保护。</w:t>
        <w:br/>
        <w:t>未经真实实验仿真数据填充与人工专家签名核验，严禁用作正式学术评审与送审！</w:t>
      </w:r>
    </w:p>
    <w:p>
      <w:pPr>
        <w:keepNext/>
        <w:pageBreakBefore/>
        <w:spacing w:before="240" w:after="120"/>
        <w:jc w:val="center"/>
      </w:pPr>
      <w:r>
        <w:rPr>
          <w:rFonts w:ascii="SimHei" w:hAnsi="SimHei" w:eastAsia="SimHei"/>
          <w:b/>
          <w:sz w:val="32"/>
        </w:rPr>
        <w:t>硕士学位论文</w:t>
      </w:r>
    </w:p>
    <w:p>
      <w:pPr>
        <w:spacing w:after="600"/>
        <w:jc w:val="center"/>
      </w:pPr>
      <w:r>
        <w:rPr>
          <w:rFonts w:ascii="SimHei" w:hAnsi="SimHei" w:eastAsia="SimHei"/>
          <w:b/>
          <w:sz w:val="32"/>
        </w:rPr>
        <w:t>面向低空智联网的无人机通感一体化波形设计与感知辅助通信资源管理</w:t>
        <w:br/>
        <w:t>（学位论文草稿）</w:t>
      </w:r>
    </w:p>
    <w:p>
      <w:pPr>
        <w:keepNext/>
        <w:pageBreakBefore/>
        <w:spacing w:before="240" w:after="120"/>
        <w:jc w:val="center"/>
      </w:pPr>
      <w:r>
        <w:rPr>
          <w:rFonts w:ascii="SimHei" w:hAnsi="SimHei" w:eastAsia="SimHei"/>
          <w:b/>
          <w:sz w:val="32"/>
        </w:rPr>
        <w:t>绪论</w:t>
      </w:r>
    </w:p>
    <w:p>
      <w:pPr>
        <w:keepNext/>
        <w:spacing w:before="240" w:after="120"/>
      </w:pPr>
      <w:r>
        <w:rPr>
          <w:rFonts w:ascii="SimHei" w:hAnsi="SimHei" w:eastAsia="SimHei"/>
          <w:b/>
          <w:sz w:val="28"/>
        </w:rPr>
        <w:t>研究背景与低空智联网业务演进</w:t>
      </w:r>
    </w:p>
    <w:p>
      <w:pPr>
        <w:spacing w:line="324" w:lineRule="auto" w:after="80"/>
        <w:ind w:firstLine="403"/>
      </w:pPr>
      <w:r>
        <w:rPr>
          <w:rFonts w:ascii="SimSun" w:hAnsi="SimSun" w:eastAsia="SimSun"/>
          <w:sz w:val="24"/>
        </w:rPr>
        <w:t>随着低空空域管理改革的纵深推进与通用航空技术的跨越式发展，以无人机（Unmanned Aerial Vehicle, UAV）为核心主体的低空经济已上升为国家战略性新兴产业。低空智联网（Low-Altitude Internet of Things, LA-IoT）作为支撑低空飞行器规模化运行的关键数字化基础设施，承担着空域安全监管、飞行器协同组网、超视距控制指令下达以及宽带载荷数据回传等多重任务。</w:t>
      </w:r>
    </w:p>
    <w:p>
      <w:pPr>
        <w:spacing w:line="324" w:lineRule="auto" w:after="80"/>
        <w:ind w:firstLine="403"/>
      </w:pPr>
      <w:r>
        <w:rPr>
          <w:rFonts w:ascii="SimSun" w:hAnsi="SimSun" w:eastAsia="SimSun"/>
          <w:sz w:val="24"/>
        </w:rPr>
        <w:t>在低空空域（飞行高度通常在 1000 米以下）环境下，飞行环境呈现出三维立体、障碍密集与动态异构的特征。低空飞行器种类繁多，涵盖消费级航拍无人机、行业巡检多旋翼平台以及垂直起降电动飞行器（eVTOL）。这些目标普遍具有低空飞行、慢速巡航及雷达散射截面积较小的“低慢小”（Low-altitude, Slow-speed, Small-size, LSS）物理属性。传统的地面二次雷达监视网络受限于地面建筑物理遮挡，存在严重的探测盲区与多径地杂波干扰；而若单独建设高密度专用雷达基站，将面临高昂的站址资源成本与频谱匮乏约束。</w:t>
      </w:r>
    </w:p>
    <w:p>
      <w:pPr>
        <w:spacing w:line="324" w:lineRule="auto" w:after="80"/>
        <w:ind w:firstLine="403"/>
      </w:pPr>
      <w:r>
        <w:rPr>
          <w:rFonts w:ascii="SimSun" w:hAnsi="SimSun" w:eastAsia="SimSun"/>
          <w:sz w:val="24"/>
        </w:rPr>
        <w:t>在此背景下，通感一体化（Integrated Sensing and Communication, ISAC）技术应运而生。ISAC 旨在打破通信与雷达探测各自独立的传统烟囱式系统架构，通过在发射端共享射频前端硬件、天线阵列与无线频谱资源，利用联合设计的基带信号同时实现对空域目标的高精度环境感知与高速可靠无线通信传输。将 ISAC 技术深度融合至低空无人机系统，不仅能够有效复用现有移动通信蜂窝网络的广域覆盖优势，大幅降低基础设施部署与能耗开销，还能借助低空感知先验信息反哺动态波束对准与链路资源调度，构建具备全域感知与自适应通信能力的低空泛在立体智联网络。</w:t>
      </w:r>
    </w:p>
    <w:p>
      <w:pPr>
        <w:keepNext/>
        <w:spacing w:before="240" w:after="120"/>
      </w:pPr>
      <w:r>
        <w:rPr>
          <w:rFonts w:ascii="SimHei" w:hAnsi="SimHei" w:eastAsia="SimHei"/>
          <w:b/>
          <w:sz w:val="28"/>
        </w:rPr>
        <w:t>无人机通感一体化核心挑战与理论矛盾</w:t>
      </w:r>
    </w:p>
    <w:p>
      <w:pPr>
        <w:spacing w:line="324" w:lineRule="auto" w:after="80"/>
        <w:ind w:firstLine="403"/>
      </w:pPr>
      <w:r>
        <w:rPr>
          <w:rFonts w:ascii="SimSun" w:hAnsi="SimSun" w:eastAsia="SimSun"/>
          <w:sz w:val="24"/>
        </w:rPr>
        <w:t>将通感一体化技术引入高动态低空无人机场景，面临诸多基础理论挑战与工程实现矛盾：</w:t>
      </w:r>
    </w:p>
    <w:p>
      <w:pPr>
        <w:keepNext/>
        <w:spacing w:before="240" w:after="120"/>
      </w:pPr>
      <w:r>
        <w:rPr>
          <w:rFonts w:ascii="SimHei" w:hAnsi="SimHei" w:eastAsia="SimHei"/>
          <w:b/>
          <w:sz w:val="28"/>
        </w:rPr>
        <w:t>国内外研究现状</w:t>
      </w:r>
    </w:p>
    <w:p>
      <w:pPr>
        <w:spacing w:line="324" w:lineRule="auto" w:after="80"/>
        <w:ind w:firstLine="403"/>
      </w:pPr>
      <w:r>
        <w:rPr>
          <w:rFonts w:ascii="SimSun" w:hAnsi="SimSun" w:eastAsia="SimSun"/>
          <w:sz w:val="24"/>
        </w:rPr>
        <w:t>近年来，国内外学术界与工业界围绕通感一体化波形优化、波束赋形以及空地协同调度开展了广泛研究。</w:t>
      </w:r>
    </w:p>
    <w:p>
      <w:pPr>
        <w:spacing w:line="324" w:lineRule="auto" w:after="80"/>
        <w:ind w:firstLine="403"/>
      </w:pPr>
      <w:r>
        <w:rPr>
          <w:rFonts w:ascii="SimSun" w:hAnsi="SimSun" w:eastAsia="SimSun"/>
          <w:sz w:val="24"/>
        </w:rPr>
        <w:t>在通感一体化波形设计方面，熊等人系统梳理了雷达通信一体化波形的发展脉络与调制体制[文献]。罗等人从信息论限与基础波形结构出发，深入总结了多载波波形设计面临的权衡关系[文献]。针对多载波系统峰均比过高的瓶颈，顾等人提出了面向无人机通信感知一体化的低 PAPR 联合波形设计方案[文献]；尹等人则探索了保频谱效率的低峰均比波形构造策略[文献]；吴等人进一步提出了基于符号级预编码的多用户 MIMO-OFDM 低峰均比发射方案[文献]。</w:t>
      </w:r>
    </w:p>
    <w:p>
      <w:pPr>
        <w:spacing w:line="324" w:lineRule="auto" w:after="80"/>
        <w:ind w:firstLine="403"/>
      </w:pPr>
      <w:r>
        <w:rPr>
          <w:rFonts w:ascii="SimSun" w:hAnsi="SimSun" w:eastAsia="SimSun"/>
          <w:sz w:val="24"/>
        </w:rPr>
        <w:t>在抗高多普勒先进调制体制方面，万等人针对毫米波高机动无人机场景，提出了正交线性调频多分复用（OCDM）一体化波形，利用菲涅尔变换域的能量聚集特性显著增强了高频多普勒鲁棒性[文献]。此外，霍等人基于检测概率最大化准则优化了 MIMO-OFDM 探测波形[文献]；张等人针对特殊目标特征探索了专用一体化微多普勒波形[文献]；仲等人设计了恒模约束下的通感一体波形流形优化算法[文献]；赵等人则针对杂波干扰背景提出了隐蔽一体化信号传输方案[文献]。</w:t>
      </w:r>
    </w:p>
    <w:p>
      <w:pPr>
        <w:spacing w:line="324" w:lineRule="auto" w:after="80"/>
        <w:ind w:firstLine="403"/>
      </w:pPr>
      <w:r>
        <w:rPr>
          <w:rFonts w:ascii="SimSun" w:hAnsi="SimSun" w:eastAsia="SimSun"/>
          <w:sz w:val="24"/>
        </w:rPr>
        <w:t>在空地资源分配与机动轨迹协同方面，付等人研究了无人机辅助通感系统的联合发射波束赋形与航迹规划问题[文献]；左等人探讨了非理想信道状态信息下的鲁棒波形优化方法[文献]；齐等人引入深度学习框架实现了数据驱动的波束赋形自适应优化[文献]；周等人分析了无人机计算、通信与雷达感知三维能耗与精度的权衡界限[文献]；张等人则系统评估了基于智能超表面辅助通感系统的互信息量界限[文献]；于等人针对高动态车联网毫米波环境分析了子载波分类调制的性能特征[文献]。</w:t>
      </w:r>
    </w:p>
    <w:p>
      <w:pPr>
        <w:keepNext/>
        <w:spacing w:before="240" w:after="120"/>
      </w:pPr>
      <w:r>
        <w:rPr>
          <w:rFonts w:ascii="SimHei" w:hAnsi="SimHei" w:eastAsia="SimHei"/>
          <w:b/>
          <w:sz w:val="28"/>
        </w:rPr>
        <w:t>本文主要研究内容与创新点</w:t>
      </w:r>
    </w:p>
    <w:p>
      <w:pPr>
        <w:spacing w:line="324" w:lineRule="auto" w:after="80"/>
        <w:ind w:firstLine="403"/>
      </w:pPr>
      <w:r>
        <w:rPr>
          <w:rFonts w:ascii="SimSun" w:hAnsi="SimSun" w:eastAsia="SimSun"/>
          <w:sz w:val="24"/>
        </w:rPr>
        <w:t>针对低空智联网复杂空域环境下的通感冲突与动态失配问题，本文开展面向低空无人机通感一体化系统的理论建模、波形优化、感知辅助波束跟踪与轻量化求解算法研究，主要创新点如下：</w:t>
      </w:r>
    </w:p>
    <w:p>
      <w:pPr>
        <w:keepNext/>
        <w:spacing w:before="240" w:after="120"/>
      </w:pPr>
      <w:r>
        <w:rPr>
          <w:rFonts w:ascii="SimHei" w:hAnsi="SimHei" w:eastAsia="SimHei"/>
          <w:b/>
          <w:sz w:val="28"/>
        </w:rPr>
        <w:t>论文组织架构</w:t>
      </w:r>
    </w:p>
    <w:p>
      <w:pPr>
        <w:spacing w:line="324" w:lineRule="auto" w:after="80"/>
        <w:ind w:firstLine="403"/>
      </w:pPr>
      <w:r>
        <w:rPr>
          <w:rFonts w:ascii="SimSun" w:hAnsi="SimSun" w:eastAsia="SimSun"/>
          <w:sz w:val="24"/>
        </w:rPr>
        <w:t>本文共分为五章，具体结构安排如下：</w:t>
      </w:r>
    </w:p>
    <w:p>
      <w:pPr>
        <w:spacing w:line="324" w:lineRule="auto" w:after="80"/>
        <w:ind w:firstLine="403"/>
      </w:pPr>
      <w:r>
        <w:rPr>
          <w:rFonts w:ascii="SimSun" w:hAnsi="SimSun" w:eastAsia="SimSun"/>
          <w:sz w:val="24"/>
        </w:rPr>
        <w:t>第一章为绪论，阐述低空智联网与无人机通感一体化的研究背景、关键理论矛盾、国内外研究现状及本文主要贡献；</w:t>
      </w:r>
    </w:p>
    <w:p>
      <w:pPr>
        <w:spacing w:line="324" w:lineRule="auto" w:after="80"/>
        <w:ind w:firstLine="403"/>
      </w:pPr>
      <w:r>
        <w:rPr>
          <w:rFonts w:ascii="SimSun" w:hAnsi="SimSun" w:eastAsia="SimSun"/>
          <w:sz w:val="24"/>
        </w:rPr>
        <w:t>第二章为国内外研究现状与理论基础，详细梳理通感一体化三大演进体制、空地信道特性与数学基准模型；</w:t>
      </w:r>
    </w:p>
    <w:p>
      <w:pPr>
        <w:spacing w:line="324" w:lineRule="auto" w:after="80"/>
        <w:ind w:firstLine="403"/>
      </w:pPr>
      <w:r>
        <w:rPr>
          <w:rFonts w:ascii="SimSun" w:hAnsi="SimSun" w:eastAsia="SimSun"/>
          <w:sz w:val="24"/>
        </w:rPr>
        <w:t>第三章为核心理论与波形设计方法，分块推导通感一体化信号模型、多载波预编码优化、感知辅助通信跟踪及低复杂度交替求解算法并给出收敛性证明；</w:t>
      </w:r>
    </w:p>
    <w:p>
      <w:pPr>
        <w:spacing w:line="324" w:lineRule="auto" w:after="80"/>
        <w:ind w:firstLine="403"/>
      </w:pPr>
      <w:r>
        <w:rPr>
          <w:rFonts w:ascii="SimSun" w:hAnsi="SimSun" w:eastAsia="SimSun"/>
          <w:sz w:val="24"/>
        </w:rPr>
        <w:t>第四章为系统仿真评估与基准对比，基于规范化脚手架框架设定系统仿真空间、预置标准三线表与可视化评估曲线；</w:t>
      </w:r>
    </w:p>
    <w:p>
      <w:pPr>
        <w:spacing w:line="324" w:lineRule="auto" w:after="80"/>
        <w:ind w:firstLine="403"/>
      </w:pPr>
      <w:r>
        <w:rPr>
          <w:rFonts w:ascii="SimSun" w:hAnsi="SimSun" w:eastAsia="SimSun"/>
          <w:sz w:val="24"/>
        </w:rPr>
        <w:t>第五章为总结与展望，归纳全文研究成果并指出后续可拓展的科研方向。</w:t>
      </w:r>
    </w:p>
    <w:p>
      <w:pPr>
        <w:keepNext/>
        <w:pageBreakBefore/>
        <w:spacing w:before="240" w:after="120"/>
        <w:jc w:val="center"/>
      </w:pPr>
      <w:r>
        <w:rPr>
          <w:rFonts w:ascii="SimHei" w:hAnsi="SimHei" w:eastAsia="SimHei"/>
          <w:b/>
          <w:sz w:val="32"/>
        </w:rPr>
        <w:t>国内外研究现状与理论基础</w:t>
      </w:r>
    </w:p>
    <w:p>
      <w:pPr>
        <w:keepNext/>
        <w:spacing w:before="240" w:after="120"/>
      </w:pPr>
      <w:r>
        <w:rPr>
          <w:rFonts w:ascii="SimHei" w:hAnsi="SimHei" w:eastAsia="SimHei"/>
          <w:b/>
          <w:sz w:val="28"/>
        </w:rPr>
        <w:t>通感一体化系统三大演进范式</w:t>
      </w:r>
    </w:p>
    <w:p>
      <w:pPr>
        <w:spacing w:line="324" w:lineRule="auto" w:after="80"/>
        <w:ind w:firstLine="403"/>
      </w:pPr>
      <w:r>
        <w:rPr>
          <w:rFonts w:ascii="SimSun" w:hAnsi="SimSun" w:eastAsia="SimSun"/>
          <w:sz w:val="24"/>
        </w:rPr>
        <w:t>通感一体化系统依据其核心驱动目标与波形合成机制的演进历程，在学术界与工业界主要形成以下三大设计范式：</w:t>
      </w:r>
    </w:p>
    <w:p>
      <w:pPr>
        <w:keepNext/>
        <w:spacing w:before="240" w:after="120"/>
      </w:pPr>
      <w:r>
        <w:rPr>
          <w:rFonts w:ascii="SimHei" w:hAnsi="SimHei" w:eastAsia="SimHei"/>
          <w:b/>
          <w:sz w:val="26"/>
        </w:rPr>
        <w:t>通信优先感知体系（Comm-Centric ISAC）</w:t>
      </w:r>
    </w:p>
    <w:p>
      <w:pPr>
        <w:spacing w:line="324" w:lineRule="auto" w:after="80"/>
        <w:ind w:firstLine="403"/>
      </w:pPr>
      <w:r>
        <w:rPr>
          <w:rFonts w:ascii="SimSun" w:hAnsi="SimSun" w:eastAsia="SimSun"/>
          <w:sz w:val="24"/>
        </w:rPr>
        <w:t>通信优先设计以标准移动蜂窝系统（如 3GPP 5G-Advanced 与 6G 候选波形）为基准框架。在该体制下，系统物理层依然沿用正交频分复用（OFDM）或离散傅里叶变换扩展正交频分复用（DFT-s-OFDM）信号结构，主要通过复用现有的解调参考信号（DMRS）或定位参考信号（PRS）进行雷达回波参数估计。接收机通过对已知发射符号与反射回波执行二维相关运算或匹配滤波，提取目标的距离、角度与径向多普勒速度。通信优先架构的优势在于能够最大程度兼容现有商用蜂窝移动通信协议与射频芯片，硬件升级成本低；然而其局限在于通信信号的高峰均比特性恶化了发射机功率放大器的直流转换效率，且导频子载波在频域的梳状或离散排布会导致雷达模糊函数产生严重的栅瓣和距离模糊。</w:t>
      </w:r>
    </w:p>
    <w:p>
      <w:pPr>
        <w:keepNext/>
        <w:spacing w:before="240" w:after="120"/>
      </w:pPr>
      <w:r>
        <w:rPr>
          <w:rFonts w:ascii="SimHei" w:hAnsi="SimHei" w:eastAsia="SimHei"/>
          <w:b/>
          <w:sz w:val="26"/>
        </w:rPr>
        <w:t>雷达优先通信体系（Radar-Centric ISAC）</w:t>
      </w:r>
    </w:p>
    <w:p>
      <w:pPr>
        <w:spacing w:line="324" w:lineRule="auto" w:after="80"/>
        <w:ind w:firstLine="403"/>
      </w:pPr>
      <w:r>
        <w:rPr>
          <w:rFonts w:ascii="SimSun" w:hAnsi="SimSun" w:eastAsia="SimSun"/>
          <w:sz w:val="24"/>
        </w:rPr>
        <w:t>雷达优先设计以成熟的雷达体制（如线性调频 LFM 或调频连续波 FMCW）为载体，通过在雷达脉冲重复周期、初始相位或调频斜率上调制通信数据。例如，利用脉冲位置调制（PPM）或准正交啁啾分集实现控制信令广播。该架构能够保持雷达高发射功率、大动态范围与理想自相关特性的优势，硬件射频器件成熟；然而其核心缺陷在于通信数据传输速率受限于脉冲重复频率（PRF），难以满足低空智联网中高清视频图传与海量传感器数据回传所需的吉比特每秒（Gbps）级吞吐量需求。</w:t>
      </w:r>
    </w:p>
    <w:p>
      <w:pPr>
        <w:keepNext/>
        <w:spacing w:before="240" w:after="120"/>
      </w:pPr>
      <w:r>
        <w:rPr>
          <w:rFonts w:ascii="SimHei" w:hAnsi="SimHei" w:eastAsia="SimHei"/>
          <w:b/>
          <w:sz w:val="26"/>
        </w:rPr>
        <w:t>双功能一体化深度融合体系（DFRC）</w:t>
      </w:r>
    </w:p>
    <w:p>
      <w:pPr>
        <w:spacing w:line="324" w:lineRule="auto" w:after="80"/>
        <w:ind w:firstLine="403"/>
      </w:pPr>
      <w:r>
        <w:rPr>
          <w:rFonts w:ascii="SimSun" w:hAnsi="SimSun" w:eastAsia="SimSun"/>
          <w:sz w:val="24"/>
        </w:rPr>
        <w:t>双功能雷达通信一体化（Dual-Functional Radar-Communication, DFRC）是当前通感一体化领域的核心前沿方向。该体制不再拘泥于单一传统波形的表层修补，而是从多天线阵列信号处理与联合优化理论出发，设计统一的基带发射信号与多波束预编码矩阵。发射信号在空间域同时合成指向下行通信移动用户的定向通信波束，以及覆盖待检测空域的广域雷达探测波束。通过在多目标空间滤波层解耦通信互干扰与雷达回波泄露，DFRC 系统能够在信息传输速率与目标探测克拉美罗界（CRB）之间灵活调节权衡权重，达到理论物理边界的最佳平衡。</w:t>
      </w:r>
    </w:p>
    <w:p>
      <w:pPr>
        <w:keepNext/>
        <w:spacing w:before="240" w:after="120"/>
      </w:pPr>
      <w:r>
        <w:rPr>
          <w:rFonts w:ascii="SimHei" w:hAnsi="SimHei" w:eastAsia="SimHei"/>
          <w:b/>
          <w:sz w:val="28"/>
        </w:rPr>
        <w:t>低空空地信道特性与高动态多普勒效应</w:t>
      </w:r>
    </w:p>
    <w:p>
      <w:pPr>
        <w:spacing w:line="324" w:lineRule="auto" w:after="80"/>
        <w:ind w:firstLine="403"/>
      </w:pPr>
      <w:r>
        <w:rPr>
          <w:rFonts w:ascii="SimSun" w:hAnsi="SimSun" w:eastAsia="SimSun"/>
          <w:sz w:val="24"/>
        </w:rPr>
        <w:t>低空无人机系统所处的无线电磁传播环境介于传统地面蜂窝信道与高空卫星信道之间，具有独特的信道统计特性。</w:t>
      </w:r>
    </w:p>
    <w:p>
      <w:pPr>
        <w:keepNext/>
        <w:spacing w:before="240" w:after="120"/>
      </w:pPr>
      <w:r>
        <w:rPr>
          <w:rFonts w:ascii="SimHei" w:hAnsi="SimHei" w:eastAsia="SimHei"/>
          <w:b/>
          <w:sz w:val="26"/>
        </w:rPr>
        <w:t>空地三维几何多径信道表征</w:t>
      </w:r>
    </w:p>
    <w:p>
      <w:pPr>
        <w:spacing w:line="324" w:lineRule="auto" w:after="80"/>
        <w:ind w:firstLine="403"/>
      </w:pPr>
      <w:r>
        <w:rPr>
          <w:rFonts w:ascii="SimSun" w:hAnsi="SimSun" w:eastAsia="SimSun"/>
          <w:sz w:val="24"/>
        </w:rPr>
        <w:t>设无人机飞行于高度为 H 的空域，地面分布有 M 个协同基站。基站与无人机之间的空间距离可表示为欧氏几何距离 d_u。空地视距（Line-of-Sight, LoS）链路的出现概率取决于仰角 \theta 与地面建筑密度分布参数：</w:t>
      </w:r>
    </w:p>
    <w:p>
      <w:pPr>
        <w:spacing w:line="324" w:lineRule="auto" w:after="80"/>
        <w:ind w:firstLine="403"/>
      </w:pPr>
      <w:r>
        <w:rPr>
          <w:rFonts w:ascii="SimSun" w:hAnsi="SimSun" w:eastAsia="SimSun"/>
          <w:sz w:val="24"/>
        </w:rPr>
        <w:t>P_{\mathrm{LoS}}(\theta) = \frac{1}{1 + a \exp\left(-b[\theta - a]\right)}</w:t>
      </w:r>
    </w:p>
    <w:p>
      <w:pPr>
        <w:spacing w:line="324" w:lineRule="auto" w:after="80"/>
        <w:ind w:firstLine="403"/>
      </w:pPr>
      <w:r>
        <w:rPr>
          <w:rFonts w:ascii="SimSun" w:hAnsi="SimSun" w:eastAsia="SimSun"/>
          <w:sz w:val="24"/>
        </w:rPr>
        <w:t>其中 a 与 b 为表征典型城区、郊区或开阔地貌的环境常量。相应的空地信道 \mathbf{H}_c \in \mathbb{C}^{K \times N_t} 可采用莱斯小尺度衰落模型表征：</w:t>
      </w:r>
    </w:p>
    <w:p>
      <w:pPr>
        <w:spacing w:line="324" w:lineRule="auto" w:after="80"/>
        <w:ind w:firstLine="403"/>
      </w:pPr>
      <w:r>
        <w:rPr>
          <w:rFonts w:ascii="SimSun" w:hAnsi="SimSun" w:eastAsia="SimSun"/>
          <w:sz w:val="24"/>
        </w:rPr>
        <w:t>其中 K_R 为莱斯因子，\mathbf{H}_{c,\mathrm{LoS}} 与 \mathbf{H}_{c,\mathrm{NLoS}} 分别代表确定性视距分量与复高斯散射分量。</w:t>
      </w:r>
    </w:p>
    <w:p>
      <w:pPr>
        <w:keepNext/>
        <w:spacing w:before="240" w:after="120"/>
      </w:pPr>
      <w:r>
        <w:rPr>
          <w:rFonts w:ascii="SimHei" w:hAnsi="SimHei" w:eastAsia="SimHei"/>
          <w:b/>
          <w:sz w:val="26"/>
        </w:rPr>
        <w:t>高动态时变多普勒频移扩展</w:t>
      </w:r>
    </w:p>
    <w:p>
      <w:pPr>
        <w:spacing w:line="324" w:lineRule="auto" w:after="80"/>
        <w:ind w:firstLine="403"/>
      </w:pPr>
      <w:r>
        <w:rPr>
          <w:rFonts w:ascii="SimSun" w:hAnsi="SimSun" w:eastAsia="SimSun"/>
          <w:sz w:val="24"/>
        </w:rPr>
        <w:t>当无人机以飞行速度向量 \mathbf{v}_u 机动飞行时，其相对于地面基站或探测目标的相对速度产生显著的多普勒频偏：</w:t>
      </w:r>
    </w:p>
    <w:p>
      <w:pPr>
        <w:spacing w:line="324" w:lineRule="auto" w:after="80"/>
        <w:ind w:firstLine="403"/>
      </w:pPr>
      <w:r>
        <w:rPr>
          <w:rFonts w:ascii="SimSun" w:hAnsi="SimSun" w:eastAsia="SimSun"/>
          <w:sz w:val="24"/>
        </w:rPr>
        <w:t>f_{D} = \frac{f_c}{c} \|\mathbf{v}_u\| \cos\psi</w:t>
      </w:r>
    </w:p>
    <w:p>
      <w:pPr>
        <w:spacing w:line="324" w:lineRule="auto" w:after="80"/>
        <w:ind w:firstLine="403"/>
      </w:pPr>
      <w:r>
        <w:rPr>
          <w:rFonts w:ascii="SimSun" w:hAnsi="SimSun" w:eastAsia="SimSun"/>
          <w:sz w:val="24"/>
        </w:rPr>
        <w:t>其中 f_c 为载波中心频率，c 为光速，\psi 为速度向量与波束传播方向的夹角。在 5G 毫米波频段（例如 f_c = 28\,GHz），当无人机巡航速度达到 V_{\max} = 25\,m/s 时，最大单向多普勒频移超过 2.3\,kHz，双向雷达回波多普勒频偏则高达 4.6\,kHz。若子载波间隔 \Delta f = 15\,kHz 或 30\,kHz，多普勒频偏占子载波间隔的比例显著提升，破坏子载波正交积分条件，导致严重的能量泄漏与信干噪比下降。</w:t>
      </w:r>
    </w:p>
    <w:p>
      <w:pPr>
        <w:keepNext/>
        <w:spacing w:before="240" w:after="120"/>
      </w:pPr>
      <w:r>
        <w:rPr>
          <w:rFonts w:ascii="SimHei" w:hAnsi="SimHei" w:eastAsia="SimHei"/>
          <w:b/>
          <w:sz w:val="28"/>
        </w:rPr>
        <w:t>现有典型波形与波束赋形技术对比分析</w:t>
      </w:r>
    </w:p>
    <w:p>
      <w:pPr>
        <w:spacing w:line="324" w:lineRule="auto" w:after="80"/>
        <w:ind w:firstLine="403"/>
      </w:pPr>
      <w:r>
        <w:rPr>
          <w:rFonts w:ascii="SimSun" w:hAnsi="SimSun" w:eastAsia="SimSun"/>
          <w:sz w:val="24"/>
        </w:rPr>
        <w:t>为了明确现有各类技术方案的性能边界，表~[图表] 给出了当前具有代表性的通感一体化设计方案的横向技术特征对比。</w:t>
      </w:r>
    </w:p>
    <w:tbl>
      <w:tblPr>
        <w:tblW w:type="auto" w:w="0"/>
        <w:jc w:val="center"/>
        <w:tblLook w:firstColumn="1" w:firstRow="1" w:lastColumn="0" w:lastRow="0" w:noHBand="0" w:noVBand="1" w:val="04A0"/>
      </w:tblPr>
      <w:tblGrid>
        <w:gridCol w:w="1860"/>
        <w:gridCol w:w="1860"/>
        <w:gridCol w:w="1860"/>
        <w:gridCol w:w="1860"/>
        <w:gridCol w:w="1860"/>
      </w:tblGrid>
      <w:tr>
        <w:tc>
          <w:tcPr>
            <w:tcW w:type="dxa" w:w="1860"/>
            <w:tcBorders>
              <w:top w:val="single" w:sz="12" w:space="0" w:color="000000"/>
              <w:bottom w:val="single" w:sz="12" w:space="0" w:color="000000"/>
              <w:left w:val="none"/>
              <w:right w:val="none"/>
            </w:tcBorders>
          </w:tcPr>
          <w:p>
            <w:r>
              <w:rPr>
                <w:rFonts w:ascii="SimSun" w:hAnsi="SimSun"/>
                <w:sz w:val="19"/>
              </w:rPr>
              <w:t>文献方案</w:t>
            </w:r>
          </w:p>
        </w:tc>
        <w:tc>
          <w:tcPr>
            <w:tcW w:type="dxa" w:w="1860"/>
            <w:tcBorders>
              <w:top w:val="single" w:sz="12" w:space="0" w:color="000000"/>
              <w:bottom w:val="single" w:sz="12" w:space="0" w:color="000000"/>
              <w:left w:val="none"/>
              <w:right w:val="none"/>
            </w:tcBorders>
          </w:tcPr>
          <w:p>
            <w:r>
              <w:rPr>
                <w:rFonts w:ascii="SimSun" w:hAnsi="SimSun"/>
                <w:sz w:val="19"/>
              </w:rPr>
              <w:t>波形与体制架构</w:t>
            </w:r>
          </w:p>
        </w:tc>
        <w:tc>
          <w:tcPr>
            <w:tcW w:type="dxa" w:w="1860"/>
            <w:tcBorders>
              <w:top w:val="single" w:sz="12" w:space="0" w:color="000000"/>
              <w:bottom w:val="single" w:sz="12" w:space="0" w:color="000000"/>
              <w:left w:val="none"/>
              <w:right w:val="none"/>
            </w:tcBorders>
          </w:tcPr>
          <w:p>
            <w:r>
              <w:rPr>
                <w:rFonts w:ascii="SimSun" w:hAnsi="SimSun"/>
                <w:sz w:val="19"/>
              </w:rPr>
              <w:t>感知评估准则</w:t>
            </w:r>
          </w:p>
        </w:tc>
        <w:tc>
          <w:tcPr>
            <w:tcW w:type="dxa" w:w="1860"/>
            <w:tcBorders>
              <w:top w:val="single" w:sz="12" w:space="0" w:color="000000"/>
              <w:bottom w:val="single" w:sz="12" w:space="0" w:color="000000"/>
              <w:left w:val="none"/>
              <w:right w:val="none"/>
            </w:tcBorders>
          </w:tcPr>
          <w:p>
            <w:r>
              <w:rPr>
                <w:rFonts w:ascii="SimSun" w:hAnsi="SimSun"/>
                <w:sz w:val="19"/>
              </w:rPr>
              <w:t>通信性能指标</w:t>
            </w:r>
          </w:p>
        </w:tc>
        <w:tc>
          <w:tcPr>
            <w:tcW w:type="dxa" w:w="1860"/>
            <w:tcBorders>
              <w:top w:val="single" w:sz="12" w:space="0" w:color="000000"/>
              <w:bottom w:val="single" w:sz="12" w:space="0" w:color="000000"/>
              <w:left w:val="none"/>
              <w:right w:val="none"/>
            </w:tcBorders>
          </w:tcPr>
          <w:p>
            <w:r>
              <w:rPr>
                <w:rFonts w:ascii="SimSun" w:hAnsi="SimSun"/>
                <w:sz w:val="19"/>
              </w:rPr>
              <w:t>优化求解机制</w:t>
            </w:r>
          </w:p>
        </w:tc>
      </w:tr>
      <w:tr>
        <w:tc>
          <w:tcPr>
            <w:tcW w:type="dxa" w:w="1860"/>
            <w:tcBorders>
              <w:top w:val="none"/>
              <w:bottom w:val="none"/>
              <w:left w:val="none"/>
              <w:right w:val="none"/>
            </w:tcBorders>
          </w:tcPr>
          <w:p>
            <w:r>
              <w:rPr>
                <w:rFonts w:ascii="SimSun" w:hAnsi="SimSun"/>
                <w:sz w:val="19"/>
              </w:rPr>
              <w:t>顾等人方案[文献]</w:t>
            </w:r>
          </w:p>
        </w:tc>
        <w:tc>
          <w:tcPr>
            <w:tcW w:type="dxa" w:w="1860"/>
            <w:tcBorders>
              <w:top w:val="none"/>
              <w:bottom w:val="none"/>
              <w:left w:val="none"/>
              <w:right w:val="none"/>
            </w:tcBorders>
          </w:tcPr>
          <w:p>
            <w:r>
              <w:rPr>
                <w:rFonts w:ascii="SimSun" w:hAnsi="SimSun"/>
                <w:sz w:val="19"/>
              </w:rPr>
              <w:t>低 PAPR 多载波波形</w:t>
            </w:r>
          </w:p>
        </w:tc>
        <w:tc>
          <w:tcPr>
            <w:tcW w:type="dxa" w:w="1860"/>
            <w:tcBorders>
              <w:top w:val="none"/>
              <w:bottom w:val="none"/>
              <w:left w:val="none"/>
              <w:right w:val="none"/>
            </w:tcBorders>
          </w:tcPr>
          <w:p>
            <w:r>
              <w:rPr>
                <w:rFonts w:ascii="SimSun" w:hAnsi="SimSun"/>
                <w:sz w:val="19"/>
              </w:rPr>
              <w:t>雷达模糊度与峰值副瓣比</w:t>
            </w:r>
          </w:p>
        </w:tc>
        <w:tc>
          <w:tcPr>
            <w:tcW w:type="dxa" w:w="1860"/>
            <w:tcBorders>
              <w:top w:val="none"/>
              <w:bottom w:val="none"/>
              <w:left w:val="none"/>
              <w:right w:val="none"/>
            </w:tcBorders>
          </w:tcPr>
          <w:p>
            <w:r>
              <w:rPr>
                <w:rFonts w:ascii="SimSun" w:hAnsi="SimSun"/>
                <w:sz w:val="19"/>
              </w:rPr>
              <w:t>误码率与信干噪比</w:t>
            </w:r>
          </w:p>
        </w:tc>
        <w:tc>
          <w:tcPr>
            <w:tcW w:type="dxa" w:w="1860"/>
            <w:tcBorders>
              <w:top w:val="none"/>
              <w:bottom w:val="none"/>
              <w:left w:val="none"/>
              <w:right w:val="none"/>
            </w:tcBorders>
          </w:tcPr>
          <w:p>
            <w:r>
              <w:rPr>
                <w:rFonts w:ascii="SimSun" w:hAnsi="SimSun"/>
                <w:sz w:val="19"/>
              </w:rPr>
              <w:t>凸松弛与交替投影</w:t>
            </w:r>
          </w:p>
        </w:tc>
      </w:tr>
      <w:tr>
        <w:tc>
          <w:tcPr>
            <w:tcW w:type="dxa" w:w="1860"/>
            <w:tcBorders>
              <w:top w:val="none"/>
              <w:bottom w:val="none"/>
              <w:left w:val="none"/>
              <w:right w:val="none"/>
            </w:tcBorders>
          </w:tcPr>
          <w:p>
            <w:r>
              <w:rPr>
                <w:rFonts w:ascii="SimSun" w:hAnsi="SimSun"/>
                <w:sz w:val="19"/>
              </w:rPr>
              <w:t>万等人方案[文献]</w:t>
            </w:r>
          </w:p>
        </w:tc>
        <w:tc>
          <w:tcPr>
            <w:tcW w:type="dxa" w:w="1860"/>
            <w:tcBorders>
              <w:top w:val="none"/>
              <w:bottom w:val="none"/>
              <w:left w:val="none"/>
              <w:right w:val="none"/>
            </w:tcBorders>
          </w:tcPr>
          <w:p>
            <w:r>
              <w:rPr>
                <w:rFonts w:ascii="SimSun" w:hAnsi="SimSun"/>
                <w:sz w:val="19"/>
              </w:rPr>
              <w:t>正交线性调频多分 (OCDM)</w:t>
            </w:r>
          </w:p>
        </w:tc>
        <w:tc>
          <w:tcPr>
            <w:tcW w:type="dxa" w:w="1860"/>
            <w:tcBorders>
              <w:top w:val="none"/>
              <w:bottom w:val="none"/>
              <w:left w:val="none"/>
              <w:right w:val="none"/>
            </w:tcBorders>
          </w:tcPr>
          <w:p>
            <w:r>
              <w:rPr>
                <w:rFonts w:ascii="SimSun" w:hAnsi="SimSun"/>
                <w:sz w:val="19"/>
              </w:rPr>
              <w:t>距离-多普勒二维分辨率</w:t>
            </w:r>
          </w:p>
        </w:tc>
        <w:tc>
          <w:tcPr>
            <w:tcW w:type="dxa" w:w="1860"/>
            <w:tcBorders>
              <w:top w:val="none"/>
              <w:bottom w:val="none"/>
              <w:left w:val="none"/>
              <w:right w:val="none"/>
            </w:tcBorders>
          </w:tcPr>
          <w:p>
            <w:r>
              <w:rPr>
                <w:rFonts w:ascii="SimSun" w:hAnsi="SimSun"/>
                <w:sz w:val="19"/>
              </w:rPr>
              <w:t>接收信噪比与块错误率</w:t>
            </w:r>
          </w:p>
        </w:tc>
        <w:tc>
          <w:tcPr>
            <w:tcW w:type="dxa" w:w="1860"/>
            <w:tcBorders>
              <w:top w:val="none"/>
              <w:bottom w:val="none"/>
              <w:left w:val="none"/>
              <w:right w:val="none"/>
            </w:tcBorders>
          </w:tcPr>
          <w:p>
            <w:r>
              <w:rPr>
                <w:rFonts w:ascii="SimSun" w:hAnsi="SimSun"/>
                <w:sz w:val="19"/>
              </w:rPr>
              <w:t>菲涅尔变换匹配滤波</w:t>
            </w:r>
          </w:p>
        </w:tc>
      </w:tr>
      <w:tr>
        <w:tc>
          <w:tcPr>
            <w:tcW w:type="dxa" w:w="1860"/>
            <w:tcBorders>
              <w:top w:val="none"/>
              <w:bottom w:val="none"/>
              <w:left w:val="none"/>
              <w:right w:val="none"/>
            </w:tcBorders>
          </w:tcPr>
          <w:p>
            <w:r>
              <w:rPr>
                <w:rFonts w:ascii="SimSun" w:hAnsi="SimSun"/>
                <w:sz w:val="19"/>
              </w:rPr>
              <w:t>霍等人方案[文献]</w:t>
            </w:r>
          </w:p>
        </w:tc>
        <w:tc>
          <w:tcPr>
            <w:tcW w:type="dxa" w:w="1860"/>
            <w:tcBorders>
              <w:top w:val="none"/>
              <w:bottom w:val="none"/>
              <w:left w:val="none"/>
              <w:right w:val="none"/>
            </w:tcBorders>
          </w:tcPr>
          <w:p>
            <w:r>
              <w:rPr>
                <w:rFonts w:ascii="SimSun" w:hAnsi="SimSun"/>
                <w:sz w:val="19"/>
              </w:rPr>
              <w:t>MIMO-OFDM 探测波形</w:t>
            </w:r>
          </w:p>
        </w:tc>
        <w:tc>
          <w:tcPr>
            <w:tcW w:type="dxa" w:w="1860"/>
            <w:tcBorders>
              <w:top w:val="none"/>
              <w:bottom w:val="none"/>
              <w:left w:val="none"/>
              <w:right w:val="none"/>
            </w:tcBorders>
          </w:tcPr>
          <w:p>
            <w:r>
              <w:rPr>
                <w:rFonts w:ascii="SimSun" w:hAnsi="SimSun"/>
                <w:sz w:val="19"/>
              </w:rPr>
              <w:t>奈曼-皮尔逊检测概率</w:t>
            </w:r>
          </w:p>
        </w:tc>
        <w:tc>
          <w:tcPr>
            <w:tcW w:type="dxa" w:w="1860"/>
            <w:tcBorders>
              <w:top w:val="none"/>
              <w:bottom w:val="none"/>
              <w:left w:val="none"/>
              <w:right w:val="none"/>
            </w:tcBorders>
          </w:tcPr>
          <w:p>
            <w:r>
              <w:rPr>
                <w:rFonts w:ascii="SimSun" w:hAnsi="SimSun"/>
                <w:sz w:val="19"/>
              </w:rPr>
              <w:t>下行链路香农和速率</w:t>
            </w:r>
          </w:p>
        </w:tc>
        <w:tc>
          <w:tcPr>
            <w:tcW w:type="dxa" w:w="1860"/>
            <w:tcBorders>
              <w:top w:val="none"/>
              <w:bottom w:val="none"/>
              <w:left w:val="none"/>
              <w:right w:val="none"/>
            </w:tcBorders>
          </w:tcPr>
          <w:p>
            <w:r>
              <w:rPr>
                <w:rFonts w:ascii="SimSun" w:hAnsi="SimSun"/>
                <w:sz w:val="19"/>
              </w:rPr>
              <w:t>半定松弛与流形规划</w:t>
            </w:r>
          </w:p>
        </w:tc>
      </w:tr>
      <w:tr>
        <w:tc>
          <w:tcPr>
            <w:tcW w:type="dxa" w:w="1860"/>
            <w:tcBorders>
              <w:top w:val="none"/>
              <w:bottom w:val="none"/>
              <w:left w:val="none"/>
              <w:right w:val="none"/>
            </w:tcBorders>
          </w:tcPr>
          <w:p>
            <w:r>
              <w:rPr>
                <w:rFonts w:ascii="SimSun" w:hAnsi="SimSun"/>
                <w:sz w:val="19"/>
              </w:rPr>
              <w:t>仲等人方案[文献]</w:t>
            </w:r>
          </w:p>
        </w:tc>
        <w:tc>
          <w:tcPr>
            <w:tcW w:type="dxa" w:w="1860"/>
            <w:tcBorders>
              <w:top w:val="none"/>
              <w:bottom w:val="none"/>
              <w:left w:val="none"/>
              <w:right w:val="none"/>
            </w:tcBorders>
          </w:tcPr>
          <w:p>
            <w:r>
              <w:rPr>
                <w:rFonts w:ascii="SimSun" w:hAnsi="SimSun"/>
                <w:sz w:val="19"/>
              </w:rPr>
              <w:t>恒模单载波雷达波形</w:t>
            </w:r>
          </w:p>
        </w:tc>
        <w:tc>
          <w:tcPr>
            <w:tcW w:type="dxa" w:w="1860"/>
            <w:tcBorders>
              <w:top w:val="none"/>
              <w:bottom w:val="none"/>
              <w:left w:val="none"/>
              <w:right w:val="none"/>
            </w:tcBorders>
          </w:tcPr>
          <w:p>
            <w:r>
              <w:rPr>
                <w:rFonts w:ascii="SimSun" w:hAnsi="SimSun"/>
                <w:sz w:val="19"/>
              </w:rPr>
              <w:t>脉冲压缩自相关旁瓣电平</w:t>
            </w:r>
          </w:p>
        </w:tc>
        <w:tc>
          <w:tcPr>
            <w:tcW w:type="dxa" w:w="1860"/>
            <w:tcBorders>
              <w:top w:val="none"/>
              <w:bottom w:val="none"/>
              <w:left w:val="none"/>
              <w:right w:val="none"/>
            </w:tcBorders>
          </w:tcPr>
          <w:p>
            <w:r>
              <w:rPr>
                <w:rFonts w:ascii="SimSun" w:hAnsi="SimSun"/>
                <w:sz w:val="19"/>
              </w:rPr>
              <w:t>多用户共信道干扰容限</w:t>
            </w:r>
          </w:p>
        </w:tc>
        <w:tc>
          <w:tcPr>
            <w:tcW w:type="dxa" w:w="1860"/>
            <w:tcBorders>
              <w:top w:val="none"/>
              <w:bottom w:val="none"/>
              <w:left w:val="none"/>
              <w:right w:val="none"/>
            </w:tcBorders>
          </w:tcPr>
          <w:p>
            <w:r>
              <w:rPr>
                <w:rFonts w:ascii="SimSun" w:hAnsi="SimSun"/>
                <w:sz w:val="19"/>
              </w:rPr>
              <w:t>黎曼流形共轭梯度法</w:t>
            </w:r>
          </w:p>
        </w:tc>
      </w:tr>
      <w:tr>
        <w:tc>
          <w:tcPr>
            <w:tcW w:type="dxa" w:w="1860"/>
            <w:tcBorders>
              <w:top w:val="none"/>
              <w:bottom w:val="none"/>
              <w:left w:val="none"/>
              <w:right w:val="none"/>
            </w:tcBorders>
          </w:tcPr>
          <w:p>
            <w:r>
              <w:rPr>
                <w:rFonts w:ascii="SimSun" w:hAnsi="SimSun"/>
                <w:sz w:val="19"/>
              </w:rPr>
              <w:t>付等人方案[文献]</w:t>
            </w:r>
          </w:p>
        </w:tc>
        <w:tc>
          <w:tcPr>
            <w:tcW w:type="dxa" w:w="1860"/>
            <w:tcBorders>
              <w:top w:val="none"/>
              <w:bottom w:val="none"/>
              <w:left w:val="none"/>
              <w:right w:val="none"/>
            </w:tcBorders>
          </w:tcPr>
          <w:p>
            <w:r>
              <w:rPr>
                <w:rFonts w:ascii="SimSun" w:hAnsi="SimSun"/>
                <w:sz w:val="19"/>
              </w:rPr>
              <w:t>无人机辅助联合预编码</w:t>
            </w:r>
          </w:p>
        </w:tc>
        <w:tc>
          <w:tcPr>
            <w:tcW w:type="dxa" w:w="1860"/>
            <w:tcBorders>
              <w:top w:val="none"/>
              <w:bottom w:val="none"/>
              <w:left w:val="none"/>
              <w:right w:val="none"/>
            </w:tcBorders>
          </w:tcPr>
          <w:p>
            <w:r>
              <w:rPr>
                <w:rFonts w:ascii="SimSun" w:hAnsi="SimSun"/>
                <w:sz w:val="19"/>
              </w:rPr>
              <w:t>目标测角克拉美罗下界 (CRB)</w:t>
            </w:r>
          </w:p>
        </w:tc>
        <w:tc>
          <w:tcPr>
            <w:tcW w:type="dxa" w:w="1860"/>
            <w:tcBorders>
              <w:top w:val="none"/>
              <w:bottom w:val="none"/>
              <w:left w:val="none"/>
              <w:right w:val="none"/>
            </w:tcBorders>
          </w:tcPr>
          <w:p>
            <w:r>
              <w:rPr>
                <w:rFonts w:ascii="SimSun" w:hAnsi="SimSun"/>
                <w:sz w:val="19"/>
              </w:rPr>
              <w:t>加权系统和速率</w:t>
            </w:r>
          </w:p>
        </w:tc>
        <w:tc>
          <w:tcPr>
            <w:tcW w:type="dxa" w:w="1860"/>
            <w:tcBorders>
              <w:top w:val="none"/>
              <w:bottom w:val="none"/>
              <w:left w:val="none"/>
              <w:right w:val="none"/>
            </w:tcBorders>
          </w:tcPr>
          <w:p>
            <w:r>
              <w:rPr>
                <w:rFonts w:ascii="SimSun" w:hAnsi="SimSun"/>
                <w:sz w:val="19"/>
              </w:rPr>
              <w:t>逐次凸逼近与块坐标下降</w:t>
            </w:r>
          </w:p>
        </w:tc>
      </w:tr>
      <w:tr>
        <w:tc>
          <w:tcPr>
            <w:tcW w:type="dxa" w:w="1860"/>
            <w:tcBorders>
              <w:top w:val="none"/>
              <w:bottom w:val="single" w:sz="12" w:space="0" w:color="000000"/>
              <w:left w:val="none"/>
              <w:right w:val="none"/>
            </w:tcBorders>
          </w:tcPr>
          <w:p>
            <w:r>
              <w:rPr>
                <w:rFonts w:ascii="SimSun" w:hAnsi="SimSun"/>
                <w:sz w:val="19"/>
              </w:rPr>
              <w:t>左等人方案[文献]</w:t>
            </w:r>
          </w:p>
        </w:tc>
        <w:tc>
          <w:tcPr>
            <w:tcW w:type="dxa" w:w="1860"/>
            <w:tcBorders>
              <w:top w:val="none"/>
              <w:bottom w:val="single" w:sz="12" w:space="0" w:color="000000"/>
              <w:left w:val="none"/>
              <w:right w:val="none"/>
            </w:tcBorders>
          </w:tcPr>
          <w:p>
            <w:r>
              <w:rPr>
                <w:rFonts w:ascii="SimSun" w:hAnsi="SimSun"/>
                <w:sz w:val="19"/>
              </w:rPr>
              <w:t>统计鲁棒发射波束赋形</w:t>
            </w:r>
          </w:p>
        </w:tc>
        <w:tc>
          <w:tcPr>
            <w:tcW w:type="dxa" w:w="1860"/>
            <w:tcBorders>
              <w:top w:val="none"/>
              <w:bottom w:val="single" w:sz="12" w:space="0" w:color="000000"/>
              <w:left w:val="none"/>
              <w:right w:val="none"/>
            </w:tcBorders>
          </w:tcPr>
          <w:p>
            <w:r>
              <w:rPr>
                <w:rFonts w:ascii="SimSun" w:hAnsi="SimSun"/>
                <w:sz w:val="19"/>
              </w:rPr>
              <w:t>最差工况感知回波信噪比</w:t>
            </w:r>
          </w:p>
        </w:tc>
        <w:tc>
          <w:tcPr>
            <w:tcW w:type="dxa" w:w="1860"/>
            <w:tcBorders>
              <w:top w:val="none"/>
              <w:bottom w:val="single" w:sz="12" w:space="0" w:color="000000"/>
              <w:left w:val="none"/>
              <w:right w:val="none"/>
            </w:tcBorders>
          </w:tcPr>
          <w:p>
            <w:r>
              <w:rPr>
                <w:rFonts w:ascii="SimSun" w:hAnsi="SimSun"/>
                <w:sz w:val="19"/>
              </w:rPr>
              <w:t>保密中断概率与保密速率</w:t>
            </w:r>
          </w:p>
        </w:tc>
        <w:tc>
          <w:tcPr>
            <w:tcW w:type="dxa" w:w="1860"/>
            <w:tcBorders>
              <w:top w:val="none"/>
              <w:bottom w:val="single" w:sz="12" w:space="0" w:color="000000"/>
              <w:left w:val="none"/>
              <w:right w:val="none"/>
            </w:tcBorders>
          </w:tcPr>
          <w:p>
            <w:r>
              <w:rPr>
                <w:rFonts w:ascii="SimSun" w:hAnsi="SimSun"/>
                <w:sz w:val="19"/>
              </w:rPr>
              <w:t>S-程序变换与半正定松弛</w:t>
            </w:r>
          </w:p>
        </w:tc>
      </w:tr>
    </w:tbl>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系统梳理了通感一体化系统的三大演进范式，深入剖析了低空空地信道的几何遮挡、莱斯衰落与毫米波高动态多普勒频移瓶颈，并对国内外现有主流波形体制与优化方案进行了多维对比。上述分析表明，在低空复杂多径与强机动环境下，设计一种兼顾低 PAPR、抗多普勒扩展并在数学上具备严谨 Pareto 最优性保证的双功能多载波波形，是低空智联网亟需攻克的理论瓶颈。</w:t>
      </w:r>
    </w:p>
    <w:p>
      <w:pPr>
        <w:keepNext/>
        <w:pageBreakBefore/>
        <w:spacing w:before="240" w:after="120"/>
        <w:jc w:val="center"/>
      </w:pPr>
      <w:r>
        <w:rPr>
          <w:rFonts w:ascii="SimHei" w:hAnsi="SimHei" w:eastAsia="SimHei"/>
          <w:b/>
          <w:sz w:val="32"/>
        </w:rPr>
        <w:t>面向低空无人机的通感一体化波形与资源管理</w:t>
      </w:r>
    </w:p>
    <w:p>
      <w:pPr>
        <w:keepNext/>
        <w:spacing w:before="240" w:after="120"/>
      </w:pPr>
      <w:r>
        <w:rPr>
          <w:rFonts w:ascii="SimHei" w:hAnsi="SimHei" w:eastAsia="SimHei"/>
          <w:b/>
          <w:sz w:val="28"/>
        </w:rPr>
        <w:t>系统模型与空地无线信道表征</w:t>
      </w:r>
    </w:p>
    <w:p>
      <w:pPr>
        <w:spacing w:line="324" w:lineRule="auto" w:after="80"/>
        <w:ind w:firstLine="403"/>
      </w:pPr>
      <w:r>
        <w:rPr>
          <w:rFonts w:ascii="SimSun" w:hAnsi="SimSun" w:eastAsia="SimSun"/>
          <w:sz w:val="24"/>
        </w:rPr>
        <w:t>考虑如图所示的低空智联网多无人机协同通感一体化系统。系统由一个部署于地面且配置 N_t 根均匀线阵（ULA）发射天线与 N_r 根接收天线的基站（BS）、K 个单天线地面移动通信用户以及 U 架协同巡航无人机组成。基站发射统一的双功能雷达通信（DFRC）基带信号矩阵 \mathbf{X} \in \mathbb{C}^{N_t \times N_s}，在为一个或多个低空区域执行非合作目标连续监视与参数估计的同时，向下行移动通信用户提供高品质宽带数据服务。</w:t>
      </w:r>
    </w:p>
    <w:p>
      <w:pPr>
        <w:keepNext/>
        <w:spacing w:before="240" w:after="120"/>
      </w:pPr>
      <w:r>
        <w:rPr>
          <w:rFonts w:ascii="SimHei" w:hAnsi="SimHei" w:eastAsia="SimHei"/>
          <w:b/>
          <w:sz w:val="26"/>
        </w:rPr>
        <w:t>发射信号与空域预编码架构</w:t>
      </w:r>
    </w:p>
    <w:p>
      <w:pPr>
        <w:spacing w:line="324" w:lineRule="auto" w:after="80"/>
        <w:ind w:firstLine="403"/>
      </w:pPr>
      <w:r>
        <w:rPr>
          <w:rFonts w:ascii="SimSun" w:hAnsi="SimSun" w:eastAsia="SimSun"/>
          <w:sz w:val="24"/>
        </w:rPr>
        <w:t>设基带发射信号由下行多用户通信信息流与专用雷达探测波形复用构成：</w:t>
      </w:r>
    </w:p>
    <w:p>
      <w:pPr>
        <w:spacing w:line="324" w:lineRule="auto" w:after="80"/>
        <w:ind w:firstLine="403"/>
      </w:pPr>
      <w:r>
        <w:rPr>
          <w:rFonts w:ascii="SimSun" w:hAnsi="SimSun" w:eastAsia="SimSun"/>
          <w:sz w:val="24"/>
        </w:rPr>
        <w:t>其中 \mathbf{W} = [\mathbf{w}_1, \dots, \mathbf{w}_K] \in \mathbb{C}^{N_t \times K} 为下行多用户通信数字预编码矩阵，\mathbf{w}_k \in \mathbb{C}^{N_t \times 1} 表示面向第 k 个通信用户的波束赋形向量；\mathbf{S}_c \in \mathbb{C}^{K \times N_s} 表示经调制后的正交归一化通信数据符号矩阵，满足统计正交性 \mathbb{E}[\mathbf{S}_c \mathbf{S}_c^H] = \mathbf{I}_K；\mathbf{w}_s \in \mathbb{C}^{N_t \times 1} 为专用雷达探测波束赋形向量，\mathbf{s}_s \in \mathbb{C}^{N_s \times 1} 为相互独立的伪随机雷达探测序列，满足 \mathbb{E}[\mathbf{s}_s \mathbf{s}_s^H] = \mathbf{I}_{N_s} 且 \mathbb{E}[\mathbf{S}_c \mathbf{s}_s^*] = \mathbf{0}。</w:t>
      </w:r>
    </w:p>
    <w:p>
      <w:pPr>
        <w:spacing w:line="324" w:lineRule="auto" w:after="80"/>
        <w:ind w:firstLine="403"/>
      </w:pPr>
      <w:r>
        <w:rPr>
          <w:rFonts w:ascii="SimSun" w:hAnsi="SimSun" w:eastAsia="SimSun"/>
          <w:sz w:val="24"/>
        </w:rPr>
        <w:t>发射基带信号的样本空间协方差矩阵定义为：</w:t>
      </w:r>
    </w:p>
    <w:p>
      <w:pPr>
        <w:spacing w:line="324" w:lineRule="auto" w:after="80"/>
        <w:ind w:firstLine="403"/>
      </w:pPr>
      <w:r>
        <w:rPr>
          <w:rFonts w:ascii="SimSun" w:hAnsi="SimSun" w:eastAsia="SimSun"/>
          <w:sz w:val="24"/>
        </w:rPr>
        <w:t>系统总发射功率受限于功放线性区最大功率预算 P_{\max}，即：</w:t>
      </w:r>
    </w:p>
    <w:p>
      <w:pPr>
        <w:keepNext/>
        <w:spacing w:before="240" w:after="120"/>
      </w:pPr>
      <w:r>
        <w:rPr>
          <w:rFonts w:ascii="SimHei" w:hAnsi="SimHei" w:eastAsia="SimHei"/>
          <w:b/>
          <w:sz w:val="26"/>
        </w:rPr>
        <w:t>空地多输入多输出通信接收模型</w:t>
      </w:r>
    </w:p>
    <w:p>
      <w:pPr>
        <w:spacing w:line="324" w:lineRule="auto" w:after="80"/>
        <w:ind w:firstLine="403"/>
      </w:pPr>
      <w:r>
        <w:rPr>
          <w:rFonts w:ascii="SimSun" w:hAnsi="SimSun" w:eastAsia="SimSun"/>
          <w:sz w:val="24"/>
        </w:rPr>
        <w:t>设基站至第 k 个移动通信用户的等效下行信道向量为 \mathbf{h}_{c,k} \in \mathbb{C}^{N_t \times 1}，全网综合通信信道矩阵记为 \mathbf{H}_c = [\mathbf{h}_{c,1}, \dots, \mathbf{h}_{c,K}]^H \in \mathbb{C}^{K \times N_t}。第 k 个用户处的下行接收信号可表示为：</w:t>
      </w:r>
    </w:p>
    <w:p>
      <w:pPr>
        <w:spacing w:line="324" w:lineRule="auto" w:after="80"/>
        <w:ind w:firstLine="403"/>
      </w:pPr>
      <w:r>
        <w:rPr>
          <w:rFonts w:ascii="SimSun" w:hAnsi="SimSun" w:eastAsia="SimSun"/>
          <w:sz w:val="24"/>
        </w:rPr>
        <w:t>y_{c,k} = \mathbf{h}_{c,k}^H \mathbf{w}_k s_{c,k} + \sum_{j \ne k}^K \mathbf{h}_{c,k}^H \mathbf{w}_j s_{c,j} + \mathbf{h}_{c,k}^H \mathbf{w}_s s_s + n_{c,k}</w:t>
      </w:r>
    </w:p>
    <w:p>
      <w:pPr>
        <w:spacing w:line="324" w:lineRule="auto" w:after="80"/>
        <w:ind w:firstLine="403"/>
      </w:pPr>
      <w:r>
        <w:rPr>
          <w:rFonts w:ascii="SimSun" w:hAnsi="SimSun" w:eastAsia="SimSun"/>
          <w:sz w:val="24"/>
        </w:rPr>
        <w:t>其中 n_{c,k} \sim \mathcal{CN}(0, \sigma_c^2) 为用户接收端均值为零、方差为 \sigma_c^2 的加性复高斯白噪声。</w:t>
      </w:r>
    </w:p>
    <w:p>
      <w:pPr>
        <w:spacing w:line="324" w:lineRule="auto" w:after="80"/>
        <w:ind w:firstLine="403"/>
      </w:pPr>
      <w:r>
        <w:rPr>
          <w:rFonts w:ascii="SimSun" w:hAnsi="SimSun" w:eastAsia="SimSun"/>
          <w:sz w:val="24"/>
        </w:rPr>
        <w:t>在该信号模型下，第 k 个通信用户的接收信干噪比（SINR）可严格形式化表征为：</w:t>
      </w:r>
    </w:p>
    <w:p>
      <w:pPr>
        <w:spacing w:line="324" w:lineRule="auto" w:after="80"/>
        <w:ind w:firstLine="403"/>
      </w:pPr>
      <w:r>
        <w:rPr>
          <w:rFonts w:ascii="SimSun" w:hAnsi="SimSun" w:eastAsia="SimSun"/>
          <w:sz w:val="24"/>
        </w:rPr>
        <w:t>整个系统的加权下行通信和速率定义为：</w:t>
      </w:r>
    </w:p>
    <w:p>
      <w:pPr>
        <w:spacing w:line="324" w:lineRule="auto" w:after="80"/>
        <w:ind w:firstLine="403"/>
      </w:pPr>
      <w:r>
        <w:rPr>
          <w:rFonts w:ascii="SimSun" w:hAnsi="SimSun" w:eastAsia="SimSun"/>
          <w:sz w:val="24"/>
        </w:rPr>
        <w:t>R_{\mathrm{sum}} = \sum_{k=1}^K \mu_k \log_2(1 + \mathrm{SINR}_k)</w:t>
      </w:r>
    </w:p>
    <w:p>
      <w:pPr>
        <w:spacing w:line="324" w:lineRule="auto" w:after="80"/>
        <w:ind w:firstLine="403"/>
      </w:pPr>
      <w:r>
        <w:rPr>
          <w:rFonts w:ascii="SimSun" w:hAnsi="SimSun" w:eastAsia="SimSun"/>
          <w:sz w:val="24"/>
        </w:rPr>
        <w:t>其中 \mu_k \ge 0 为不同业务优先级的加权比例因子。</w:t>
      </w:r>
    </w:p>
    <w:p>
      <w:pPr>
        <w:keepNext/>
        <w:spacing w:before="240" w:after="120"/>
      </w:pPr>
      <w:r>
        <w:rPr>
          <w:rFonts w:ascii="SimHei" w:hAnsi="SimHei" w:eastAsia="SimHei"/>
          <w:b/>
          <w:sz w:val="26"/>
        </w:rPr>
        <w:t>雷达目标回波与克拉美罗下界矩阵</w:t>
      </w:r>
    </w:p>
    <w:p>
      <w:pPr>
        <w:spacing w:line="324" w:lineRule="auto" w:after="80"/>
        <w:ind w:firstLine="403"/>
      </w:pPr>
      <w:r>
        <w:rPr>
          <w:rFonts w:ascii="SimSun" w:hAnsi="SimSun" w:eastAsia="SimSun"/>
          <w:sz w:val="24"/>
        </w:rPr>
        <w:t>假设空域存在一个或多个待探测低空目标。目标相对于基站阵列的方位角为 \theta，雷达散射截面积（RCS）及复回波系数记为 \alpha_k。基站接收阵列接收到的目标回波信号矩阵 \mathbf{Y}_s \in \mathbb{C}^{N_r \times N_s} 满足：</w:t>
      </w:r>
    </w:p>
    <w:p>
      <w:pPr>
        <w:spacing w:line="324" w:lineRule="auto" w:after="80"/>
        <w:ind w:firstLine="403"/>
      </w:pPr>
      <w:r>
        <w:rPr>
          <w:rFonts w:ascii="SimSun" w:hAnsi="SimSun" w:eastAsia="SimSun"/>
          <w:sz w:val="24"/>
        </w:rPr>
        <w:t>其中 \mathbf{a}(\theta) \in \mathbb{C}^{N_t \times 1} 与 \mathbf{b}(\theta) \in \mathbb{C}^{N_r \times 1} 分别为基站发射阵列与接收阵列的阵列导向矢量；\mathbf{H}_s = \alpha_k \mathbf{b}(\theta)\mathbf{a}^H(\theta) \in \mathbb{C}^{N_r \times N_t} 为等效感知空间信道矩阵；\mathbf{N}_s 为感知接收机热噪声矩阵，其各列相互独立且服从 \mathcal{CN}(\mathbf{0}, \sigma_s^2 \mathbf{I}_{N_r})。</w:t>
      </w:r>
    </w:p>
    <w:p>
      <w:pPr>
        <w:spacing w:line="324" w:lineRule="auto" w:after="80"/>
        <w:ind w:firstLine="403"/>
      </w:pPr>
      <w:r>
        <w:rPr>
          <w:rFonts w:ascii="SimSun" w:hAnsi="SimSun" w:eastAsia="SimSun"/>
          <w:sz w:val="24"/>
        </w:rPr>
        <w:t>为了客观刻画雷达无偏估计精度的理论物理极限，引入费雪信息矩阵（Fisher Information Matrix, FIM）\mathbf{J}。对于待估计参数向量 \boldsymbol{\xi} = [\theta, \tau, f_D]^T（分别对应目标的方位角、时延与多普勒频移），其无偏估计误差协方差矩阵下界由克拉美罗界（CRB）确定：</w:t>
      </w:r>
    </w:p>
    <w:p>
      <w:pPr>
        <w:spacing w:line="324" w:lineRule="auto" w:after="80"/>
        <w:ind w:firstLine="403"/>
      </w:pPr>
      <w:r>
        <w:rPr>
          <w:rFonts w:ascii="SimSun" w:hAnsi="SimSun" w:eastAsia="SimSun"/>
          <w:sz w:val="24"/>
        </w:rPr>
        <w:t>特别地，针对目标角度估计，对应的克拉美罗下界具有显式表达式：</w:t>
      </w:r>
    </w:p>
    <w:p>
      <w:pPr>
        <w:spacing w:line="324" w:lineRule="auto" w:after="80"/>
        <w:ind w:firstLine="403"/>
      </w:pPr>
      <w:r>
        <w:rPr>
          <w:rFonts w:ascii="SimSun" w:hAnsi="SimSun" w:eastAsia="SimSun"/>
          <w:sz w:val="24"/>
        </w:rPr>
        <w:t>其中 \dot{\mathbf{a}}(\theta) = \frac{\partial \mathbf{a}(\theta)}{\partial \theta} 表示阵列导向矢量的角域导数。由上式可见，感知精度指标直接取决于发射协方差矩阵 \mathbf{R}_x 在期望探测方向 \mathbf{a}(\theta) 上的能量投影强度。</w:t>
      </w:r>
    </w:p>
    <w:p>
      <w:pPr>
        <w:keepNext/>
        <w:spacing w:before="240" w:after="120"/>
      </w:pPr>
      <w:r>
        <w:rPr>
          <w:rFonts w:ascii="SimHei" w:hAnsi="SimHei" w:eastAsia="SimHei"/>
          <w:b/>
          <w:sz w:val="28"/>
        </w:rPr>
        <w:t>基于 CRB 与互信息量的通感一体波形优化</w:t>
      </w:r>
    </w:p>
    <w:p>
      <w:pPr>
        <w:spacing w:line="324" w:lineRule="auto" w:after="80"/>
        <w:ind w:firstLine="403"/>
      </w:pPr>
      <w:r>
        <w:rPr>
          <w:rFonts w:ascii="SimSun" w:hAnsi="SimSun" w:eastAsia="SimSun"/>
          <w:sz w:val="24"/>
        </w:rPr>
        <w:t>在传统通信系统设计中，香农信道容量的极值解遵循经典注水定理，能量倾向于汇聚在信道增益优良的子载波或空间特征模态上；而在雷达探测体系中，估计精度（CRB 极小化）则要求信号在频带边缘注入更大能量以展宽均方根（RMS）带宽。本节建立二者联合权衡的优化数学规划模型。</w:t>
      </w:r>
    </w:p>
    <w:p>
      <w:pPr>
        <w:keepNext/>
        <w:spacing w:before="240" w:after="120"/>
      </w:pPr>
      <w:r>
        <w:rPr>
          <w:rFonts w:ascii="SimHei" w:hAnsi="SimHei" w:eastAsia="SimHei"/>
          <w:b/>
          <w:sz w:val="26"/>
        </w:rPr>
        <w:t>多载波 OFDM 频域波形参数化</w:t>
      </w:r>
    </w:p>
    <w:p>
      <w:pPr>
        <w:spacing w:line="324" w:lineRule="auto" w:after="80"/>
        <w:ind w:firstLine="403"/>
      </w:pPr>
      <w:r>
        <w:rPr>
          <w:rFonts w:ascii="SimSun" w:hAnsi="SimSun" w:eastAsia="SimSun"/>
          <w:sz w:val="24"/>
        </w:rPr>
        <w:t>设系统配置 M 个正交子载波，子载波间隔为 \Delta f。在第 m \in \{1, \dots, M\} 个子载波上，下行通信发射功率记为 p_{c,m}，专用雷达探测功率记为 p_{s,m}。根据双基地雷达测距测角理论，时延估计误差界与子载波二阶矩密切相关：</w:t>
      </w:r>
    </w:p>
    <w:p>
      <w:pPr>
        <w:spacing w:line="324" w:lineRule="auto" w:after="80"/>
        <w:ind w:firstLine="403"/>
      </w:pPr>
      <w:r>
        <w:rPr>
          <w:rFonts w:ascii="SimSun" w:hAnsi="SimSun" w:eastAsia="SimSun"/>
          <w:sz w:val="24"/>
        </w:rPr>
        <w:t>由此可知，感知时延 CRB 对频带两端的“高频边缘子载波”（即大 m）具有极强的能量亲和性；而通信互信息量则满足：</w:t>
      </w:r>
    </w:p>
    <w:p>
      <w:pPr>
        <w:spacing w:line="324" w:lineRule="auto" w:after="80"/>
        <w:ind w:firstLine="403"/>
      </w:pPr>
      <w:r>
        <w:rPr>
          <w:rFonts w:ascii="SimSun" w:hAnsi="SimSun" w:eastAsia="SimSun"/>
          <w:sz w:val="24"/>
        </w:rPr>
        <w:t>式中感知波形对通信接收构成共信道干扰，若不施加空域波束正交化设计，将严重压缩通信信道容量。</w:t>
      </w:r>
    </w:p>
    <w:p>
      <w:pPr>
        <w:keepNext/>
        <w:spacing w:before="240" w:after="120"/>
      </w:pPr>
      <w:r>
        <w:rPr>
          <w:rFonts w:ascii="SimHei" w:hAnsi="SimHei" w:eastAsia="SimHei"/>
          <w:b/>
          <w:sz w:val="26"/>
        </w:rPr>
        <w:t>通感一体预编码联合优化问题建模</w:t>
      </w:r>
    </w:p>
    <w:p>
      <w:pPr>
        <w:spacing w:line="324" w:lineRule="auto" w:after="80"/>
        <w:ind w:firstLine="403"/>
      </w:pPr>
      <w:r>
        <w:rPr>
          <w:rFonts w:ascii="SimSun" w:hAnsi="SimSun" w:eastAsia="SimSun"/>
          <w:sz w:val="24"/>
        </w:rPr>
        <w:t>为了在空间域与频域彻底消除感知对通信用户的互干扰，同时最大化全网通信下行和速率并保障空域探测能量覆盖，构建如下联合波束赋形优化问题 (\mathcal{P}_1)：</w:t>
      </w:r>
    </w:p>
    <w:p>
      <w:pPr>
        <w:spacing w:line="324" w:lineRule="auto" w:after="80"/>
        <w:ind w:firstLine="403"/>
      </w:pPr>
      <w:r>
        <w:rPr>
          <w:rFonts w:ascii="SimSun" w:hAnsi="SimSun" w:eastAsia="SimSun"/>
          <w:sz w:val="24"/>
        </w:rPr>
        <w:t>(\mathcal{P}_1): \max_{\mathbf{W}, \mathbf{w}_s} \quad &amp; R_{\mathrm{sum}} = \sum_{k=1}^K \log_2(1 + \mathrm{SINR}_k) \\</w:t>
      </w:r>
    </w:p>
    <w:p>
      <w:pPr>
        <w:spacing w:line="324" w:lineRule="auto" w:after="80"/>
        <w:ind w:firstLine="403"/>
      </w:pPr>
      <w:r>
        <w:rPr>
          <w:rFonts w:ascii="SimSun" w:hAnsi="SimSun" w:eastAsia="SimSun"/>
          <w:sz w:val="24"/>
        </w:rPr>
        <w:t>&amp; \mathbf{a}^H(\theta_i)(\mathbf{W}\mathbf{W}^H + \mathbf{w}_s \mathbf{w}_s^H)\mathbf{a}(\theta_i) \ge \Gamma_s, \quad \forall i \in \{1, \dots, I\} \\</w:t>
      </w:r>
    </w:p>
    <w:p>
      <w:pPr>
        <w:spacing w:line="324" w:lineRule="auto" w:after="80"/>
        <w:ind w:firstLine="403"/>
      </w:pPr>
      <w:r>
        <w:rPr>
          <w:rFonts w:ascii="SimSun" w:hAnsi="SimSun" w:eastAsia="SimSun"/>
          <w:sz w:val="24"/>
        </w:rPr>
        <w:t>&amp; \sum_{k=1}^K \|\mathbf{w}_k\|^2 + \|\mathbf{w}_s\|^2 \le P_{\max}</w:t>
      </w:r>
    </w:p>
    <w:p>
      <w:pPr>
        <w:spacing w:line="324" w:lineRule="auto" w:after="80"/>
        <w:ind w:firstLine="403"/>
      </w:pPr>
      <w:r>
        <w:rPr>
          <w:rFonts w:ascii="SimSun" w:hAnsi="SimSun" w:eastAsia="SimSun"/>
          <w:sz w:val="24"/>
        </w:rPr>
        <w:t>其中 \Gamma_{\mathrm{th}} 为用户通信最低服务质量（QoS）门限，\Gamma_s 为在第 i 个感知目标方位角 \theta_i 处的最低定向辐射功率门限，I 为待探测的目标空域总数。</w:t>
      </w:r>
    </w:p>
    <w:p>
      <w:pPr>
        <w:keepNext/>
        <w:spacing w:before="240" w:after="120"/>
      </w:pPr>
      <w:r>
        <w:rPr>
          <w:rFonts w:ascii="SimHei" w:hAnsi="SimHei" w:eastAsia="SimHei"/>
          <w:b/>
          <w:sz w:val="26"/>
        </w:rPr>
        <w:t>矩阵提升与半正定松弛（SDR）重构</w:t>
      </w:r>
    </w:p>
    <w:p>
      <w:pPr>
        <w:spacing w:line="324" w:lineRule="auto" w:after="80"/>
        <w:ind w:firstLine="403"/>
      </w:pPr>
      <w:r>
        <w:rPr>
          <w:rFonts w:ascii="SimSun" w:hAnsi="SimSun" w:eastAsia="SimSun"/>
          <w:sz w:val="24"/>
        </w:rPr>
        <w:t>问题 (\mathcal{P}_1) 的目标函数与非凸二次约束使得原规划属于 NP-hard 问题。为此，引入矩阵提升（Matrix Lifting）技术，定义高维半正定矩阵变量：</w:t>
      </w:r>
    </w:p>
    <w:p>
      <w:pPr>
        <w:spacing w:line="324" w:lineRule="auto" w:after="80"/>
        <w:ind w:firstLine="403"/>
      </w:pPr>
      <w:r>
        <w:rPr>
          <w:rFonts w:ascii="SimSun" w:hAnsi="SimSun" w:eastAsia="SimSun"/>
          <w:sz w:val="24"/>
        </w:rPr>
        <w:t>显然，\mathbf{W}_k \succeq \mathbf{0}, \mathbf{W}_s \succeq \mathbf{0}，且满足隐式秩一约束 \mathrm{Rank}(\mathbf{W}_k) = 1, \mathrm{Rank}(\mathbf{W}_s) = 1。通过松弛该非凸秩一约束，问题 (\mathcal{P}_1) 转化为关于 \{\mathbf{W}_k\} 与 \mathbf{W}_s 的凸半正定规划（SDP）子结构，为多项式复杂度求解奠定了坚实理论基础。</w:t>
      </w:r>
    </w:p>
    <w:p>
      <w:pPr>
        <w:keepNext/>
        <w:spacing w:before="240" w:after="120"/>
      </w:pPr>
      <w:r>
        <w:rPr>
          <w:rFonts w:ascii="SimHei" w:hAnsi="SimHei" w:eastAsia="SimHei"/>
          <w:b/>
          <w:sz w:val="28"/>
        </w:rPr>
        <w:t>感知先验辅助的动态资源管理与波束跟踪</w:t>
      </w:r>
    </w:p>
    <w:p>
      <w:pPr>
        <w:spacing w:line="324" w:lineRule="auto" w:after="80"/>
        <w:ind w:firstLine="403"/>
      </w:pPr>
      <w:r>
        <w:rPr>
          <w:rFonts w:ascii="SimSun" w:hAnsi="SimSun" w:eastAsia="SimSun"/>
          <w:sz w:val="24"/>
        </w:rPr>
        <w:t>在传统高动态移动通信系统中，由于飞行器高速机动与信道相干时间极短，获取精确的信道状态信息（CSI）需要消耗海量的导频开销与耗时的全角度波束扫描。通感一体化系统的独特优势在于：雷达感知功能所获取的目标运动学状态先验（包括目标空间三维坐标、航向角与瞬时径向速度），可直接反哺于通信物理层，实现开环快速对准与先验自适应波束预测。</w:t>
      </w:r>
    </w:p>
    <w:p>
      <w:pPr>
        <w:keepNext/>
        <w:spacing w:before="240" w:after="120"/>
      </w:pPr>
      <w:r>
        <w:rPr>
          <w:rFonts w:ascii="SimHei" w:hAnsi="SimHei" w:eastAsia="SimHei"/>
          <w:b/>
          <w:sz w:val="26"/>
        </w:rPr>
        <w:t>多无人机协同三维空间机动运动学模型</w:t>
      </w:r>
    </w:p>
    <w:p>
      <w:pPr>
        <w:spacing w:line="324" w:lineRule="auto" w:after="80"/>
        <w:ind w:firstLine="403"/>
      </w:pPr>
      <w:r>
        <w:rPr>
          <w:rFonts w:ascii="SimSun" w:hAnsi="SimSun" w:eastAsia="SimSun"/>
          <w:sz w:val="24"/>
        </w:rPr>
        <w:t>考虑由 U 架无人机组成的低空立体协同网络。离散化飞行时域划分为 N 个持续时间为 \Delta t 的时隙。在时隙 n \in \{1, \dots, N\}，第 u \in \{1, \dots, U\} 架无人机的三维空间几何坐标表示为：</w:t>
      </w:r>
    </w:p>
    <w:p>
      <w:pPr>
        <w:spacing w:line="324" w:lineRule="auto" w:after="80"/>
        <w:ind w:firstLine="403"/>
      </w:pPr>
      <w:r>
        <w:rPr>
          <w:rFonts w:ascii="SimSun" w:hAnsi="SimSun" w:eastAsia="SimSun"/>
          <w:sz w:val="24"/>
        </w:rPr>
        <w:t>受限于无人机物理动力学推进能力，相邻时隙间的最大飞行位移满足位移约束：</w:t>
      </w:r>
    </w:p>
    <w:p>
      <w:pPr>
        <w:spacing w:line="324" w:lineRule="auto" w:after="80"/>
        <w:ind w:firstLine="403"/>
      </w:pPr>
      <w:r>
        <w:rPr>
          <w:rFonts w:ascii="SimSun" w:hAnsi="SimSun" w:eastAsia="SimSun"/>
          <w:sz w:val="24"/>
        </w:rPr>
        <w:t>其中 V_{\max} 为无人机最大水平巡航速度。此外，为保障空中编队安全，任意两架无人机在同一时隙的间距必须大于最小安全防撞距离 d_{\min}：</w:t>
      </w:r>
    </w:p>
    <w:p>
      <w:pPr>
        <w:keepNext/>
        <w:spacing w:before="240" w:after="120"/>
      </w:pPr>
      <w:r>
        <w:rPr>
          <w:rFonts w:ascii="SimHei" w:hAnsi="SimHei" w:eastAsia="SimHei"/>
          <w:b/>
          <w:sz w:val="26"/>
        </w:rPr>
        <w:t>卡尔曼滤波目标状态后验演进与波束跟踪</w:t>
      </w:r>
    </w:p>
    <w:p>
      <w:pPr>
        <w:spacing w:line="324" w:lineRule="auto" w:after="80"/>
        <w:ind w:firstLine="403"/>
      </w:pPr>
      <w:r>
        <w:rPr>
          <w:rFonts w:ascii="SimSun" w:hAnsi="SimSun" w:eastAsia="SimSun"/>
          <w:sz w:val="24"/>
        </w:rPr>
        <w:t>设移动通信目标在第 n 时隙的状态向量为 \mathbf{s}_t[n] = [\mathbf{p}_t^T[n], \mathbf{v}_t^T[n]]^T，其中 \mathbf{p}_t[n] 与 \mathbf{v}_t[n] 分别代表目标的三维空间位置与三维瞬时速度。系统状态空间方程遵循线性高斯马尔可夫演进过程：</w:t>
      </w:r>
    </w:p>
    <w:p>
      <w:pPr>
        <w:spacing w:line="324" w:lineRule="auto" w:after="80"/>
        <w:ind w:firstLine="403"/>
      </w:pPr>
      <w:r>
        <w:rPr>
          <w:rFonts w:ascii="SimSun" w:hAnsi="SimSun" w:eastAsia="SimSun"/>
          <w:sz w:val="24"/>
        </w:rPr>
        <w:t>其中 \mathbf{F} 为状态转移矩阵，\mathbf{u}_t[n] \sim \mathcal{CN}(\mathbf{0}, \mathbf{Q}_w) 为过程状态激励噪声。</w:t>
      </w:r>
    </w:p>
    <w:p>
      <w:pPr>
        <w:spacing w:line="324" w:lineRule="auto" w:after="80"/>
        <w:ind w:firstLine="403"/>
      </w:pPr>
      <w:r>
        <w:rPr>
          <w:rFonts w:ascii="SimSun" w:hAnsi="SimSun" w:eastAsia="SimSun"/>
          <w:sz w:val="24"/>
        </w:rPr>
        <w:t>当一体化雷达接收机在时隙 n 接收到回波信号并完成匹配滤波后，获取关于目标的距离、方位角与多普勒频移观测值 \mathbf{z}[n]：</w:t>
      </w:r>
    </w:p>
    <w:p>
      <w:pPr>
        <w:spacing w:line="324" w:lineRule="auto" w:after="80"/>
        <w:ind w:firstLine="403"/>
      </w:pPr>
      <w:r>
        <w:rPr>
          <w:rFonts w:ascii="SimSun" w:hAnsi="SimSun" w:eastAsia="SimSun"/>
          <w:sz w:val="24"/>
        </w:rPr>
        <w:t>通过扩展卡尔曼滤波（EKF）的一步状态预测与协方差更新，基站与协同无人机获得时隙 n+1 目标空间位置的后验均方误差估计 \hat{\mathbf{p}}_t[n+1|n] 与后验协方差矩阵 \mathbf{P}[n+1|n]。</w:t>
      </w:r>
    </w:p>
    <w:p>
      <w:pPr>
        <w:spacing w:line="324" w:lineRule="auto" w:after="80"/>
        <w:ind w:firstLine="403"/>
      </w:pPr>
      <w:r>
        <w:rPr>
          <w:rFonts w:ascii="SimSun" w:hAnsi="SimSun" w:eastAsia="SimSun"/>
          <w:sz w:val="24"/>
        </w:rPr>
        <w:t>基于该先验信息，基站可预测目标在下一时隙的到达角范围 [\hat{\theta}[n+1] - \Delta \theta, \hat{\theta}[n+1] + \Delta \theta]。相比于传统的 360 度盲搜扫描，感知辅助机制将通信波束扫描空间压缩了两个数量级以上，彻底消除了周期性信令中断，显著降低了信道反馈时延开销。</w:t>
      </w:r>
    </w:p>
    <w:p>
      <w:pPr>
        <w:keepNext/>
        <w:spacing w:before="240" w:after="120"/>
      </w:pPr>
      <w:r>
        <w:rPr>
          <w:rFonts w:ascii="SimHei" w:hAnsi="SimHei" w:eastAsia="SimHei"/>
          <w:b/>
          <w:sz w:val="28"/>
        </w:rPr>
        <w:t>基于 SCA-BCD 的交替求解算法与收敛性分析</w:t>
      </w:r>
    </w:p>
    <w:p>
      <w:pPr>
        <w:spacing w:line="324" w:lineRule="auto" w:after="80"/>
        <w:ind w:firstLine="403"/>
      </w:pPr>
      <w:r>
        <w:rPr>
          <w:rFonts w:ascii="SimSun" w:hAnsi="SimSun" w:eastAsia="SimSun"/>
          <w:sz w:val="24"/>
        </w:rPr>
        <w:t>由于多无人机三维机动航迹变量 \{\mathbf{q}_u[n]\} 与空间发射预编码矩阵 \mathbf{W}, \mathbf{w}_s 相互耦合，且目标函数关于三维欧氏距离呈高度非凸非线性，直接全局求解在数学上难以实现。为此，本节提出一种基于块坐标下降（BCD）与逐次凸逼近（SCA）的高效交替迭代算法，并给出收敛性与计算复杂度证明。</w:t>
      </w:r>
    </w:p>
    <w:p>
      <w:pPr>
        <w:keepNext/>
        <w:spacing w:before="240" w:after="120"/>
      </w:pPr>
      <w:r>
        <w:rPr>
          <w:rFonts w:ascii="SimHei" w:hAnsi="SimHei" w:eastAsia="SimHei"/>
          <w:b/>
          <w:sz w:val="26"/>
        </w:rPr>
        <w:t>算法迭代解耦架构</w:t>
      </w:r>
    </w:p>
    <w:p>
      <w:pPr>
        <w:spacing w:line="324" w:lineRule="auto" w:after="80"/>
        <w:ind w:firstLine="403"/>
      </w:pPr>
      <w:r>
        <w:rPr>
          <w:rFonts w:ascii="SimSun" w:hAnsi="SimSun" w:eastAsia="SimSun"/>
          <w:sz w:val="24"/>
        </w:rPr>
        <w:t>在所提交替框架中，整体非凸问题被分解为两个易于求解的凸近似子问题：</w:t>
      </w:r>
    </w:p>
    <w:p>
      <w:pPr>
        <w:keepNext/>
        <w:spacing w:before="240" w:after="120"/>
      </w:pPr>
      <w:r>
        <w:rPr>
          <w:rFonts w:ascii="SimHei" w:hAnsi="SimHei" w:eastAsia="SimHei"/>
          <w:b/>
          <w:sz w:val="26"/>
        </w:rPr>
        <w:t>算法理论收敛性证明</w:t>
      </w:r>
    </w:p>
    <w:p>
      <w:pPr>
        <w:spacing w:line="324" w:lineRule="auto" w:after="80"/>
        <w:ind w:firstLine="403"/>
      </w:pPr>
      <w:r>
        <w:rPr>
          <w:rFonts w:ascii="SimSun" w:hAnsi="SimSun" w:eastAsia="SimSun"/>
          <w:sz w:val="24"/>
        </w:rPr>
        <w:t>由算法~[图表] 生成的目标函数值序列 \{R_{\mathrm{sum}}^{(l)}\}_{l=1}^\infty 单调非减且存在理论上界，因而序列保证确定性收敛至局部稳定驻点，满足原问题的 Karush-Kuhn-Tucker (KKT) 一阶必要极值条件。</w:t>
      </w:r>
    </w:p>
    <w:p>
      <w:pPr>
        <w:spacing w:line="324" w:lineRule="auto" w:after="80"/>
        <w:ind w:firstLine="403"/>
      </w:pPr>
      <w:r>
        <w:rPr>
          <w:rFonts w:ascii="SimSun" w:hAnsi="SimSun" w:eastAsia="SimSun"/>
          <w:sz w:val="24"/>
        </w:rPr>
        <w:t>定义 f(\mathbf{W}, \mathbf{w}_s, \mathbf{q}) 为原优化问题的目标函数。在第 l 次迭代的步骤 3 中，由于波束赋形子问题在矩阵提升后为严格凸规划，全局最优解必定使得目标函数值不低于前一步结果：</w:t>
      </w:r>
    </w:p>
    <w:p>
      <w:pPr>
        <w:spacing w:line="324" w:lineRule="auto" w:after="80"/>
        <w:ind w:firstLine="403"/>
      </w:pPr>
      <w:r>
        <w:rPr>
          <w:rFonts w:ascii="SimSun" w:hAnsi="SimSun" w:eastAsia="SimSun"/>
          <w:sz w:val="24"/>
        </w:rPr>
        <w:t>f(\mathbf{W}^{(l+1)}, \mathbf{w}_s^{(l+1)}, \mathbf{q}^{(l)}) \ge f(\mathbf{W}^{(l)}, \mathbf{w}_s^{(l)}, \mathbf{q}^{(l)})</w:t>
      </w:r>
    </w:p>
    <w:p>
      <w:pPr>
        <w:spacing w:line="324" w:lineRule="auto" w:after="80"/>
        <w:ind w:firstLine="403"/>
      </w:pPr>
      <w:r>
        <w:rPr>
          <w:rFonts w:ascii="SimSun" w:hAnsi="SimSun" w:eastAsia="SimSun"/>
          <w:sz w:val="24"/>
        </w:rPr>
        <w:t>在步骤 5 中，由于逐次凸逼近采用的局部一阶泰勒展开式处处严格位于原凹函数下方且在参考点处取等号，因此求解凸替代子问题获得的解在原非凸问题上满足单调上升性质：</w:t>
      </w:r>
    </w:p>
    <w:p>
      <w:pPr>
        <w:spacing w:line="324" w:lineRule="auto" w:after="80"/>
        <w:ind w:firstLine="403"/>
      </w:pPr>
      <w:r>
        <w:rPr>
          <w:rFonts w:ascii="SimSun" w:hAnsi="SimSun" w:eastAsia="SimSun"/>
          <w:sz w:val="24"/>
        </w:rPr>
        <w:t>f(\mathbf{W}^{(l+1)}, \mathbf{w}_s^{(l+1)}, \mathbf{q}^{(l+1)}) \ge f(\mathbf{W}^{(l+1)}, \mathbf{w}_s^{(l+1)}, \mathbf{q}^{(l)})</w:t>
      </w:r>
    </w:p>
    <w:p>
      <w:pPr>
        <w:spacing w:line="324" w:lineRule="auto" w:after="80"/>
        <w:ind w:firstLine="403"/>
      </w:pPr>
      <w:r>
        <w:rPr>
          <w:rFonts w:ascii="SimSun" w:hAnsi="SimSun" w:eastAsia="SimSun"/>
          <w:sz w:val="24"/>
        </w:rPr>
        <w:t>综合上述两式可知，对于任意迭代步 l，恒有：</w:t>
      </w:r>
    </w:p>
    <w:p>
      <w:pPr>
        <w:spacing w:line="324" w:lineRule="auto" w:after="80"/>
        <w:ind w:firstLine="403"/>
      </w:pPr>
      <w:r>
        <w:rPr>
          <w:rFonts w:ascii="SimSun" w:hAnsi="SimSun" w:eastAsia="SimSun"/>
          <w:sz w:val="24"/>
        </w:rPr>
        <w:t>f(\mathbf{W}^{(l+1)}, \mathbf{w}_s^{(l+1)}, \mathbf{q}^{(l+1)}) \ge f(\mathbf{W}^{(l)}, \mathbf{w}_s^{(l)}, \mathbf{q}^{(l)})</w:t>
      </w:r>
    </w:p>
    <w:p>
      <w:pPr>
        <w:spacing w:line="324" w:lineRule="auto" w:after="80"/>
        <w:ind w:firstLine="403"/>
      </w:pPr>
      <w:r>
        <w:rPr>
          <w:rFonts w:ascii="SimSun" w:hAnsi="SimSun" w:eastAsia="SimSun"/>
          <w:sz w:val="24"/>
        </w:rPr>
        <w:t>即目标函数值序列呈单调非减。此外，由于系统总发射功率严格受限于 P_{\max}，信道噪声方差 \sigma_c^2 &gt; 0，通信和速率受限于有限输入功率下的香农容量上界，即 \exists M_{\max} &lt; +\infty，使得 f(\mathbf{W}, \mathbf{w}_s, \mathbf{q}) \le M_{\max}。根据单调有界收敛准则，序列必定收敛。由于各子问题解空间满足非空紧集与正则性条件，极限点必然满足一阶 KKT 驻点条件。</w:t>
      </w:r>
    </w:p>
    <w:p>
      <w:pPr>
        <w:keepNext/>
        <w:spacing w:before="240" w:after="120"/>
      </w:pPr>
      <w:r>
        <w:rPr>
          <w:rFonts w:ascii="SimHei" w:hAnsi="SimHei" w:eastAsia="SimHei"/>
          <w:b/>
          <w:sz w:val="26"/>
        </w:rPr>
        <w:t>计算复杂度分析</w:t>
      </w:r>
    </w:p>
    <w:p>
      <w:pPr>
        <w:spacing w:line="324" w:lineRule="auto" w:after="80"/>
        <w:ind w:firstLine="403"/>
      </w:pPr>
      <w:r>
        <w:rPr>
          <w:rFonts w:ascii="SimSun" w:hAnsi="SimSun" w:eastAsia="SimSun"/>
          <w:sz w:val="24"/>
        </w:rPr>
        <w:t>算法的计算开销主要来源于波束赋形 SDP 求解与轨迹 SOCP 求解。对于波束赋形子问题，求解 K 个大小为 N_t \times N_t 的半正定矩阵规划，其内点法迭代计算复杂度约为 \mathcal{O}(K^{3.5} N_t^{3.5})；对于航迹子问题，优化变量维度为 3UN，二阶锥约束数量为 \mathcal{O}(UN + U^2 N)，其内点法计算复杂度为 \mathcal{O}((UN)^{3.5})。因此，算法单次交替迭代的总计算复杂度为 \mathcal{O}\left(K^{3.5} N_t^{3.5} + (UN)^{3.5}\right)。在实际低空无人机系统参数配置下，该复杂度为关于变量维度的低阶多项式级别，具备在工程机载处理器上离线规划或近实时在线解算的可行性。</w:t>
      </w:r>
    </w:p>
    <w:p>
      <w:pPr>
        <w:keepNext/>
        <w:pageBreakBefore/>
        <w:spacing w:before="240" w:after="120"/>
        <w:jc w:val="center"/>
      </w:pPr>
      <w:r>
        <w:rPr>
          <w:rFonts w:ascii="SimHei" w:hAnsi="SimHei" w:eastAsia="SimHei"/>
          <w:b/>
          <w:sz w:val="32"/>
        </w:rPr>
        <w:t>系统仿真评估与基准对比</w:t>
      </w:r>
    </w:p>
    <w:p>
      <w:pPr>
        <w:keepNext/>
        <w:spacing w:before="240" w:after="120"/>
      </w:pPr>
      <w:r>
        <w:rPr>
          <w:rFonts w:ascii="SimHei" w:hAnsi="SimHei" w:eastAsia="SimHei"/>
          <w:b/>
          <w:sz w:val="28"/>
        </w:rPr>
        <w:t>仿真实验环境与系统参数设置</w:t>
      </w:r>
    </w:p>
    <w:p>
      <w:pPr>
        <w:spacing w:line="324" w:lineRule="auto" w:after="80"/>
        <w:ind w:firstLine="403"/>
      </w:pPr>
      <w:r>
        <w:rPr>
          <w:rFonts w:ascii="SimSun" w:hAnsi="SimSun" w:eastAsia="SimSun"/>
          <w:sz w:val="24"/>
        </w:rPr>
        <w:t>为了对本文所提出的面向低空智联网的无人机通感一体化波形优化与感知辅助资源管理机制进行全方位定量评估，本节构建标准三维空间多无人机仿真测试平台。基站位于空间坐标原点，多架协同巡航无人机分布于低空空域，地面离散分布多个移动通信用户。表~[图表] 列出了系统核心仿真参数的标称扫描空间。</w:t>
      </w:r>
    </w:p>
    <w:tbl>
      <w:tblPr>
        <w:tblW w:type="auto" w:w="0"/>
        <w:jc w:val="center"/>
        <w:tblLook w:firstColumn="1" w:firstRow="1" w:lastColumn="0" w:lastRow="0" w:noHBand="0" w:noVBand="1" w:val="04A0"/>
      </w:tblPr>
      <w:tblGrid>
        <w:gridCol w:w="3101"/>
        <w:gridCol w:w="3101"/>
        <w:gridCol w:w="3101"/>
      </w:tblGrid>
      <w:tr>
        <w:tc>
          <w:tcPr>
            <w:tcW w:type="dxa" w:w="3101"/>
            <w:tcBorders>
              <w:top w:val="single" w:sz="12" w:space="0" w:color="000000"/>
              <w:bottom w:val="single" w:sz="12" w:space="0" w:color="000000"/>
              <w:left w:val="none"/>
              <w:right w:val="none"/>
            </w:tcBorders>
          </w:tcPr>
          <w:p>
            <w:r>
              <w:rPr>
                <w:rFonts w:ascii="SimSun" w:hAnsi="SimSun"/>
                <w:sz w:val="19"/>
              </w:rPr>
              <w:t>参数符号</w:t>
            </w:r>
          </w:p>
        </w:tc>
        <w:tc>
          <w:tcPr>
            <w:tcW w:type="dxa" w:w="3101"/>
            <w:tcBorders>
              <w:top w:val="single" w:sz="12" w:space="0" w:color="000000"/>
              <w:bottom w:val="single" w:sz="12" w:space="0" w:color="000000"/>
              <w:left w:val="none"/>
              <w:right w:val="none"/>
            </w:tcBorders>
          </w:tcPr>
          <w:p>
            <w:r>
              <w:rPr>
                <w:rFonts w:ascii="SimSun" w:hAnsi="SimSun"/>
                <w:sz w:val="19"/>
              </w:rPr>
              <w:t>参数物理含义</w:t>
            </w:r>
          </w:p>
        </w:tc>
        <w:tc>
          <w:tcPr>
            <w:tcW w:type="dxa" w:w="3101"/>
            <w:tcBorders>
              <w:top w:val="single" w:sz="12" w:space="0" w:color="000000"/>
              <w:bottom w:val="single" w:sz="12" w:space="0" w:color="000000"/>
              <w:left w:val="none"/>
              <w:right w:val="none"/>
            </w:tcBorders>
          </w:tcPr>
          <w:p>
            <w:r>
              <w:rPr>
                <w:rFonts w:ascii="SimSun" w:hAnsi="SimSun"/>
                <w:sz w:val="19"/>
              </w:rPr>
              <w:t>标称取值 / 扫描范围</w:t>
            </w:r>
          </w:p>
        </w:tc>
      </w:tr>
      <w:tr>
        <w:tc>
          <w:tcPr>
            <w:tcW w:type="dxa" w:w="3101"/>
            <w:tcBorders>
              <w:top w:val="none"/>
              <w:bottom w:val="none"/>
              <w:left w:val="none"/>
              <w:right w:val="none"/>
            </w:tcBorders>
          </w:tcPr>
          <w:p>
            <w:r>
              <w:rPr>
                <w:rFonts w:ascii="SimSun" w:hAnsi="SimSun"/>
                <w:sz w:val="19"/>
              </w:rPr>
              <w:t>f_c</w:t>
            </w:r>
          </w:p>
        </w:tc>
        <w:tc>
          <w:tcPr>
            <w:tcW w:type="dxa" w:w="3101"/>
            <w:tcBorders>
              <w:top w:val="none"/>
              <w:bottom w:val="none"/>
              <w:left w:val="none"/>
              <w:right w:val="none"/>
            </w:tcBorders>
          </w:tcPr>
          <w:p>
            <w:r>
              <w:rPr>
                <w:rFonts w:ascii="SimSun" w:hAnsi="SimSun"/>
                <w:sz w:val="19"/>
              </w:rPr>
              <w:t>载波中心频率</w:t>
            </w:r>
          </w:p>
        </w:tc>
        <w:tc>
          <w:tcPr>
            <w:tcW w:type="dxa" w:w="3101"/>
            <w:tcBorders>
              <w:top w:val="none"/>
              <w:bottom w:val="none"/>
              <w:left w:val="none"/>
              <w:right w:val="none"/>
            </w:tcBorders>
          </w:tcPr>
          <w:p>
            <w:r>
              <w:rPr>
                <w:rFonts w:ascii="SimSun" w:hAnsi="SimSun"/>
                <w:sz w:val="19"/>
              </w:rPr>
              <w:t>28\,GHz (毫米波频段)</w:t>
            </w:r>
          </w:p>
        </w:tc>
      </w:tr>
      <w:tr>
        <w:tc>
          <w:tcPr>
            <w:tcW w:type="dxa" w:w="3101"/>
            <w:tcBorders>
              <w:top w:val="none"/>
              <w:bottom w:val="none"/>
              <w:left w:val="none"/>
              <w:right w:val="none"/>
            </w:tcBorders>
          </w:tcPr>
          <w:p>
            <w:r>
              <w:rPr>
                <w:rFonts w:ascii="SimSun" w:hAnsi="SimSun"/>
                <w:sz w:val="19"/>
              </w:rPr>
              <w:t>B</w:t>
            </w:r>
          </w:p>
        </w:tc>
        <w:tc>
          <w:tcPr>
            <w:tcW w:type="dxa" w:w="3101"/>
            <w:tcBorders>
              <w:top w:val="none"/>
              <w:bottom w:val="none"/>
              <w:left w:val="none"/>
              <w:right w:val="none"/>
            </w:tcBorders>
          </w:tcPr>
          <w:p>
            <w:r>
              <w:rPr>
                <w:rFonts w:ascii="SimSun" w:hAnsi="SimSun"/>
                <w:sz w:val="19"/>
              </w:rPr>
              <w:t>系统信号总带宽</w:t>
            </w:r>
          </w:p>
        </w:tc>
        <w:tc>
          <w:tcPr>
            <w:tcW w:type="dxa" w:w="3101"/>
            <w:tcBorders>
              <w:top w:val="none"/>
              <w:bottom w:val="none"/>
              <w:left w:val="none"/>
              <w:right w:val="none"/>
            </w:tcBorders>
          </w:tcPr>
          <w:p>
            <w:r>
              <w:rPr>
                <w:rFonts w:ascii="SimSun" w:hAnsi="SimSun"/>
                <w:sz w:val="19"/>
              </w:rPr>
              <w:t>100\,MHz</w:t>
            </w:r>
          </w:p>
        </w:tc>
      </w:tr>
      <w:tr>
        <w:tc>
          <w:tcPr>
            <w:tcW w:type="dxa" w:w="3101"/>
            <w:tcBorders>
              <w:top w:val="none"/>
              <w:bottom w:val="none"/>
              <w:left w:val="none"/>
              <w:right w:val="none"/>
            </w:tcBorders>
          </w:tcPr>
          <w:p>
            <w:r>
              <w:rPr>
                <w:rFonts w:ascii="SimSun" w:hAnsi="SimSun"/>
                <w:sz w:val="19"/>
              </w:rPr>
              <w:t>\Delta f</w:t>
            </w:r>
          </w:p>
        </w:tc>
        <w:tc>
          <w:tcPr>
            <w:tcW w:type="dxa" w:w="3101"/>
            <w:tcBorders>
              <w:top w:val="none"/>
              <w:bottom w:val="none"/>
              <w:left w:val="none"/>
              <w:right w:val="none"/>
            </w:tcBorders>
          </w:tcPr>
          <w:p>
            <w:r>
              <w:rPr>
                <w:rFonts w:ascii="SimSun" w:hAnsi="SimSun"/>
                <w:sz w:val="19"/>
              </w:rPr>
              <w:t>OFDM 子载波间隔</w:t>
            </w:r>
          </w:p>
        </w:tc>
        <w:tc>
          <w:tcPr>
            <w:tcW w:type="dxa" w:w="3101"/>
            <w:tcBorders>
              <w:top w:val="none"/>
              <w:bottom w:val="none"/>
              <w:left w:val="none"/>
              <w:right w:val="none"/>
            </w:tcBorders>
          </w:tcPr>
          <w:p>
            <w:r>
              <w:rPr>
                <w:rFonts w:ascii="SimSun" w:hAnsi="SimSun"/>
                <w:sz w:val="19"/>
              </w:rPr>
              <w:t>120\,kHz</w:t>
            </w:r>
          </w:p>
        </w:tc>
      </w:tr>
      <w:tr>
        <w:tc>
          <w:tcPr>
            <w:tcW w:type="dxa" w:w="3101"/>
            <w:tcBorders>
              <w:top w:val="none"/>
              <w:bottom w:val="none"/>
              <w:left w:val="none"/>
              <w:right w:val="none"/>
            </w:tcBorders>
          </w:tcPr>
          <w:p>
            <w:r>
              <w:rPr>
                <w:rFonts w:ascii="SimSun" w:hAnsi="SimSun"/>
                <w:sz w:val="19"/>
              </w:rPr>
              <w:t>M</w:t>
            </w:r>
          </w:p>
        </w:tc>
        <w:tc>
          <w:tcPr>
            <w:tcW w:type="dxa" w:w="3101"/>
            <w:tcBorders>
              <w:top w:val="none"/>
              <w:bottom w:val="none"/>
              <w:left w:val="none"/>
              <w:right w:val="none"/>
            </w:tcBorders>
          </w:tcPr>
          <w:p>
            <w:r>
              <w:rPr>
                <w:rFonts w:ascii="SimSun" w:hAnsi="SimSun"/>
                <w:sz w:val="19"/>
              </w:rPr>
              <w:t>正交子载波总数</w:t>
            </w:r>
          </w:p>
        </w:tc>
        <w:tc>
          <w:tcPr>
            <w:tcW w:type="dxa" w:w="3101"/>
            <w:tcBorders>
              <w:top w:val="none"/>
              <w:bottom w:val="none"/>
              <w:left w:val="none"/>
              <w:right w:val="none"/>
            </w:tcBorders>
          </w:tcPr>
          <w:p>
            <w:r>
              <w:rPr>
                <w:rFonts w:ascii="SimSun" w:hAnsi="SimSun"/>
                <w:sz w:val="19"/>
              </w:rPr>
              <w:t>1024</w:t>
            </w:r>
          </w:p>
        </w:tc>
      </w:tr>
      <w:tr>
        <w:tc>
          <w:tcPr>
            <w:tcW w:type="dxa" w:w="3101"/>
            <w:tcBorders>
              <w:top w:val="none"/>
              <w:bottom w:val="none"/>
              <w:left w:val="none"/>
              <w:right w:val="none"/>
            </w:tcBorders>
          </w:tcPr>
          <w:p>
            <w:r>
              <w:rPr>
                <w:rFonts w:ascii="SimSun" w:hAnsi="SimSun"/>
                <w:sz w:val="19"/>
              </w:rPr>
              <w:t>N_t</w:t>
            </w:r>
          </w:p>
        </w:tc>
        <w:tc>
          <w:tcPr>
            <w:tcW w:type="dxa" w:w="3101"/>
            <w:tcBorders>
              <w:top w:val="none"/>
              <w:bottom w:val="none"/>
              <w:left w:val="none"/>
              <w:right w:val="none"/>
            </w:tcBorders>
          </w:tcPr>
          <w:p>
            <w:r>
              <w:rPr>
                <w:rFonts w:ascii="SimSun" w:hAnsi="SimSun"/>
                <w:sz w:val="19"/>
              </w:rPr>
              <w:t>基站发射天线数</w:t>
            </w:r>
          </w:p>
        </w:tc>
        <w:tc>
          <w:tcPr>
            <w:tcW w:type="dxa" w:w="3101"/>
            <w:tcBorders>
              <w:top w:val="none"/>
              <w:bottom w:val="none"/>
              <w:left w:val="none"/>
              <w:right w:val="none"/>
            </w:tcBorders>
          </w:tcPr>
          <w:p>
            <w:r>
              <w:rPr>
                <w:rFonts w:ascii="SimSun" w:hAnsi="SimSun"/>
                <w:sz w:val="19"/>
              </w:rPr>
              <w:t>32 (均匀线阵)</w:t>
            </w:r>
          </w:p>
        </w:tc>
      </w:tr>
      <w:tr>
        <w:tc>
          <w:tcPr>
            <w:tcW w:type="dxa" w:w="3101"/>
            <w:tcBorders>
              <w:top w:val="none"/>
              <w:bottom w:val="none"/>
              <w:left w:val="none"/>
              <w:right w:val="none"/>
            </w:tcBorders>
          </w:tcPr>
          <w:p>
            <w:r>
              <w:rPr>
                <w:rFonts w:ascii="SimSun" w:hAnsi="SimSun"/>
                <w:sz w:val="19"/>
              </w:rPr>
              <w:t>N_r</w:t>
            </w:r>
          </w:p>
        </w:tc>
        <w:tc>
          <w:tcPr>
            <w:tcW w:type="dxa" w:w="3101"/>
            <w:tcBorders>
              <w:top w:val="none"/>
              <w:bottom w:val="none"/>
              <w:left w:val="none"/>
              <w:right w:val="none"/>
            </w:tcBorders>
          </w:tcPr>
          <w:p>
            <w:r>
              <w:rPr>
                <w:rFonts w:ascii="SimSun" w:hAnsi="SimSun"/>
                <w:sz w:val="19"/>
              </w:rPr>
              <w:t>感知接收天线数</w:t>
            </w:r>
          </w:p>
        </w:tc>
        <w:tc>
          <w:tcPr>
            <w:tcW w:type="dxa" w:w="3101"/>
            <w:tcBorders>
              <w:top w:val="none"/>
              <w:bottom w:val="none"/>
              <w:left w:val="none"/>
              <w:right w:val="none"/>
            </w:tcBorders>
          </w:tcPr>
          <w:p>
            <w:r>
              <w:rPr>
                <w:rFonts w:ascii="SimSun" w:hAnsi="SimSun"/>
                <w:sz w:val="19"/>
              </w:rPr>
              <w:t>16 (均匀线阵)</w:t>
            </w:r>
          </w:p>
        </w:tc>
      </w:tr>
      <w:tr>
        <w:tc>
          <w:tcPr>
            <w:tcW w:type="dxa" w:w="3101"/>
            <w:tcBorders>
              <w:top w:val="none"/>
              <w:bottom w:val="none"/>
              <w:left w:val="none"/>
              <w:right w:val="none"/>
            </w:tcBorders>
          </w:tcPr>
          <w:p>
            <w:r>
              <w:rPr>
                <w:rFonts w:ascii="SimSun" w:hAnsi="SimSun"/>
                <w:sz w:val="19"/>
              </w:rPr>
              <w:t>K</w:t>
            </w:r>
          </w:p>
        </w:tc>
        <w:tc>
          <w:tcPr>
            <w:tcW w:type="dxa" w:w="3101"/>
            <w:tcBorders>
              <w:top w:val="none"/>
              <w:bottom w:val="none"/>
              <w:left w:val="none"/>
              <w:right w:val="none"/>
            </w:tcBorders>
          </w:tcPr>
          <w:p>
            <w:r>
              <w:rPr>
                <w:rFonts w:ascii="SimSun" w:hAnsi="SimSun"/>
                <w:sz w:val="19"/>
              </w:rPr>
              <w:t>地面移动通信用户数</w:t>
            </w:r>
          </w:p>
        </w:tc>
        <w:tc>
          <w:tcPr>
            <w:tcW w:type="dxa" w:w="3101"/>
            <w:tcBorders>
              <w:top w:val="none"/>
              <w:bottom w:val="none"/>
              <w:left w:val="none"/>
              <w:right w:val="none"/>
            </w:tcBorders>
          </w:tcPr>
          <w:p>
            <w:r>
              <w:rPr>
                <w:rFonts w:ascii="SimSun" w:hAnsi="SimSun"/>
                <w:sz w:val="19"/>
              </w:rPr>
              <w:t>4</w:t>
            </w:r>
          </w:p>
        </w:tc>
      </w:tr>
      <w:tr>
        <w:tc>
          <w:tcPr>
            <w:tcW w:type="dxa" w:w="3101"/>
            <w:tcBorders>
              <w:top w:val="none"/>
              <w:bottom w:val="none"/>
              <w:left w:val="none"/>
              <w:right w:val="none"/>
            </w:tcBorders>
          </w:tcPr>
          <w:p>
            <w:r>
              <w:rPr>
                <w:rFonts w:ascii="SimSun" w:hAnsi="SimSun"/>
                <w:sz w:val="19"/>
              </w:rPr>
              <w:t>U</w:t>
            </w:r>
          </w:p>
        </w:tc>
        <w:tc>
          <w:tcPr>
            <w:tcW w:type="dxa" w:w="3101"/>
            <w:tcBorders>
              <w:top w:val="none"/>
              <w:bottom w:val="none"/>
              <w:left w:val="none"/>
              <w:right w:val="none"/>
            </w:tcBorders>
          </w:tcPr>
          <w:p>
            <w:r>
              <w:rPr>
                <w:rFonts w:ascii="SimSun" w:hAnsi="SimSun"/>
                <w:sz w:val="19"/>
              </w:rPr>
              <w:t>协同巡航无人机总数</w:t>
            </w:r>
          </w:p>
        </w:tc>
        <w:tc>
          <w:tcPr>
            <w:tcW w:type="dxa" w:w="3101"/>
            <w:tcBorders>
              <w:top w:val="none"/>
              <w:bottom w:val="none"/>
              <w:left w:val="none"/>
              <w:right w:val="none"/>
            </w:tcBorders>
          </w:tcPr>
          <w:p>
            <w:r>
              <w:rPr>
                <w:rFonts w:ascii="SimSun" w:hAnsi="SimSun"/>
                <w:sz w:val="19"/>
              </w:rPr>
              <w:t>2</w:t>
            </w:r>
          </w:p>
        </w:tc>
      </w:tr>
      <w:tr>
        <w:tc>
          <w:tcPr>
            <w:tcW w:type="dxa" w:w="3101"/>
            <w:tcBorders>
              <w:top w:val="none"/>
              <w:bottom w:val="none"/>
              <w:left w:val="none"/>
              <w:right w:val="none"/>
            </w:tcBorders>
          </w:tcPr>
          <w:p>
            <w:r>
              <w:rPr>
                <w:rFonts w:ascii="SimSun" w:hAnsi="SimSun"/>
                <w:sz w:val="19"/>
              </w:rPr>
              <w:t>P_{\max}</w:t>
            </w:r>
          </w:p>
        </w:tc>
        <w:tc>
          <w:tcPr>
            <w:tcW w:type="dxa" w:w="3101"/>
            <w:tcBorders>
              <w:top w:val="none"/>
              <w:bottom w:val="none"/>
              <w:left w:val="none"/>
              <w:right w:val="none"/>
            </w:tcBorders>
          </w:tcPr>
          <w:p>
            <w:r>
              <w:rPr>
                <w:rFonts w:ascii="SimSun" w:hAnsi="SimSun"/>
                <w:sz w:val="19"/>
              </w:rPr>
              <w:t>基站最大发射功率预算</w:t>
            </w:r>
          </w:p>
        </w:tc>
        <w:tc>
          <w:tcPr>
            <w:tcW w:type="dxa" w:w="3101"/>
            <w:tcBorders>
              <w:top w:val="none"/>
              <w:bottom w:val="none"/>
              <w:left w:val="none"/>
              <w:right w:val="none"/>
            </w:tcBorders>
          </w:tcPr>
          <w:p>
            <w:r>
              <w:rPr>
                <w:rFonts w:ascii="SimSun" w:hAnsi="SimSun"/>
                <w:sz w:val="19"/>
              </w:rPr>
              <w:t>30\,dBm -- 40\,dBm</w:t>
            </w:r>
          </w:p>
        </w:tc>
      </w:tr>
      <w:tr>
        <w:tc>
          <w:tcPr>
            <w:tcW w:type="dxa" w:w="3101"/>
            <w:tcBorders>
              <w:top w:val="none"/>
              <w:bottom w:val="none"/>
              <w:left w:val="none"/>
              <w:right w:val="none"/>
            </w:tcBorders>
          </w:tcPr>
          <w:p>
            <w:r>
              <w:rPr>
                <w:rFonts w:ascii="SimSun" w:hAnsi="SimSun"/>
                <w:sz w:val="19"/>
              </w:rPr>
              <w:t>\sigma_c^2, \sigma_s^2</w:t>
            </w:r>
          </w:p>
        </w:tc>
        <w:tc>
          <w:tcPr>
            <w:tcW w:type="dxa" w:w="3101"/>
            <w:tcBorders>
              <w:top w:val="none"/>
              <w:bottom w:val="none"/>
              <w:left w:val="none"/>
              <w:right w:val="none"/>
            </w:tcBorders>
          </w:tcPr>
          <w:p>
            <w:r>
              <w:rPr>
                <w:rFonts w:ascii="SimSun" w:hAnsi="SimSun"/>
                <w:sz w:val="19"/>
              </w:rPr>
              <w:t>接收机等效白噪声功率</w:t>
            </w:r>
          </w:p>
        </w:tc>
        <w:tc>
          <w:tcPr>
            <w:tcW w:type="dxa" w:w="3101"/>
            <w:tcBorders>
              <w:top w:val="none"/>
              <w:bottom w:val="none"/>
              <w:left w:val="none"/>
              <w:right w:val="none"/>
            </w:tcBorders>
          </w:tcPr>
          <w:p>
            <w:r>
              <w:rPr>
                <w:rFonts w:ascii="SimSun" w:hAnsi="SimSun"/>
                <w:sz w:val="19"/>
              </w:rPr>
              <w:t>-94\,dBm</w:t>
            </w:r>
          </w:p>
        </w:tc>
      </w:tr>
      <w:tr>
        <w:tc>
          <w:tcPr>
            <w:tcW w:type="dxa" w:w="3101"/>
            <w:tcBorders>
              <w:top w:val="none"/>
              <w:bottom w:val="none"/>
              <w:left w:val="none"/>
              <w:right w:val="none"/>
            </w:tcBorders>
          </w:tcPr>
          <w:p>
            <w:r>
              <w:rPr>
                <w:rFonts w:ascii="SimSun" w:hAnsi="SimSun"/>
                <w:sz w:val="19"/>
              </w:rPr>
              <w:t>V_{\max}</w:t>
            </w:r>
          </w:p>
        </w:tc>
        <w:tc>
          <w:tcPr>
            <w:tcW w:type="dxa" w:w="3101"/>
            <w:tcBorders>
              <w:top w:val="none"/>
              <w:bottom w:val="none"/>
              <w:left w:val="none"/>
              <w:right w:val="none"/>
            </w:tcBorders>
          </w:tcPr>
          <w:p>
            <w:r>
              <w:rPr>
                <w:rFonts w:ascii="SimSun" w:hAnsi="SimSun"/>
                <w:sz w:val="19"/>
              </w:rPr>
              <w:t>无人机最大水平飞行速度</w:t>
            </w:r>
          </w:p>
        </w:tc>
        <w:tc>
          <w:tcPr>
            <w:tcW w:type="dxa" w:w="3101"/>
            <w:tcBorders>
              <w:top w:val="none"/>
              <w:bottom w:val="none"/>
              <w:left w:val="none"/>
              <w:right w:val="none"/>
            </w:tcBorders>
          </w:tcPr>
          <w:p>
            <w:r>
              <w:rPr>
                <w:rFonts w:ascii="SimSun" w:hAnsi="SimSun"/>
                <w:sz w:val="19"/>
              </w:rPr>
              <w:t>25\,m/s</w:t>
            </w:r>
          </w:p>
        </w:tc>
      </w:tr>
      <w:tr>
        <w:tc>
          <w:tcPr>
            <w:tcW w:type="dxa" w:w="3101"/>
            <w:tcBorders>
              <w:top w:val="none"/>
              <w:bottom w:val="none"/>
              <w:left w:val="none"/>
              <w:right w:val="none"/>
            </w:tcBorders>
          </w:tcPr>
          <w:p>
            <w:r>
              <w:rPr>
                <w:rFonts w:ascii="SimSun" w:hAnsi="SimSun"/>
                <w:sz w:val="19"/>
              </w:rPr>
              <w:t>H</w:t>
            </w:r>
          </w:p>
        </w:tc>
        <w:tc>
          <w:tcPr>
            <w:tcW w:type="dxa" w:w="3101"/>
            <w:tcBorders>
              <w:top w:val="none"/>
              <w:bottom w:val="none"/>
              <w:left w:val="none"/>
              <w:right w:val="none"/>
            </w:tcBorders>
          </w:tcPr>
          <w:p>
            <w:r>
              <w:rPr>
                <w:rFonts w:ascii="SimSun" w:hAnsi="SimSun"/>
                <w:sz w:val="19"/>
              </w:rPr>
              <w:t>无人机固定巡航飞行高度</w:t>
            </w:r>
          </w:p>
        </w:tc>
        <w:tc>
          <w:tcPr>
            <w:tcW w:type="dxa" w:w="3101"/>
            <w:tcBorders>
              <w:top w:val="none"/>
              <w:bottom w:val="none"/>
              <w:left w:val="none"/>
              <w:right w:val="none"/>
            </w:tcBorders>
          </w:tcPr>
          <w:p>
            <w:r>
              <w:rPr>
                <w:rFonts w:ascii="SimSun" w:hAnsi="SimSun"/>
                <w:sz w:val="19"/>
              </w:rPr>
              <w:t>100\,m</w:t>
            </w:r>
          </w:p>
        </w:tc>
      </w:tr>
      <w:tr>
        <w:tc>
          <w:tcPr>
            <w:tcW w:type="dxa" w:w="3101"/>
            <w:tcBorders>
              <w:top w:val="none"/>
              <w:bottom w:val="none"/>
              <w:left w:val="none"/>
              <w:right w:val="none"/>
            </w:tcBorders>
          </w:tcPr>
          <w:p>
            <w:r>
              <w:rPr>
                <w:rFonts w:ascii="SimSun" w:hAnsi="SimSun"/>
                <w:sz w:val="19"/>
              </w:rPr>
              <w:t>d_{\min}</w:t>
            </w:r>
          </w:p>
        </w:tc>
        <w:tc>
          <w:tcPr>
            <w:tcW w:type="dxa" w:w="3101"/>
            <w:tcBorders>
              <w:top w:val="none"/>
              <w:bottom w:val="none"/>
              <w:left w:val="none"/>
              <w:right w:val="none"/>
            </w:tcBorders>
          </w:tcPr>
          <w:p>
            <w:r>
              <w:rPr>
                <w:rFonts w:ascii="SimSun" w:hAnsi="SimSun"/>
                <w:sz w:val="19"/>
              </w:rPr>
              <w:t>无人机间安全防撞间距</w:t>
            </w:r>
          </w:p>
        </w:tc>
        <w:tc>
          <w:tcPr>
            <w:tcW w:type="dxa" w:w="3101"/>
            <w:tcBorders>
              <w:top w:val="none"/>
              <w:bottom w:val="none"/>
              <w:left w:val="none"/>
              <w:right w:val="none"/>
            </w:tcBorders>
          </w:tcPr>
          <w:p>
            <w:r>
              <w:rPr>
                <w:rFonts w:ascii="SimSun" w:hAnsi="SimSun"/>
                <w:sz w:val="19"/>
              </w:rPr>
              <w:t>10\,m</w:t>
            </w:r>
          </w:p>
        </w:tc>
      </w:tr>
      <w:tr>
        <w:tc>
          <w:tcPr>
            <w:tcW w:type="dxa" w:w="3101"/>
            <w:tcBorders>
              <w:top w:val="none"/>
              <w:bottom w:val="single" w:sz="12" w:space="0" w:color="000000"/>
              <w:left w:val="none"/>
              <w:right w:val="none"/>
            </w:tcBorders>
          </w:tcPr>
          <w:p>
            <w:r>
              <w:rPr>
                <w:rFonts w:ascii="SimSun" w:hAnsi="SimSun"/>
                <w:sz w:val="19"/>
              </w:rPr>
              <w:t>\Gamma_{\mathrm{th}}</w:t>
            </w:r>
          </w:p>
        </w:tc>
        <w:tc>
          <w:tcPr>
            <w:tcW w:type="dxa" w:w="3101"/>
            <w:tcBorders>
              <w:top w:val="none"/>
              <w:bottom w:val="single" w:sz="12" w:space="0" w:color="000000"/>
              <w:left w:val="none"/>
              <w:right w:val="none"/>
            </w:tcBorders>
          </w:tcPr>
          <w:p>
            <w:r>
              <w:rPr>
                <w:rFonts w:ascii="SimSun" w:hAnsi="SimSun"/>
                <w:sz w:val="19"/>
              </w:rPr>
              <w:t>通信用户最低 SINR 服务门限</w:t>
            </w:r>
          </w:p>
        </w:tc>
        <w:tc>
          <w:tcPr>
            <w:tcW w:type="dxa" w:w="3101"/>
            <w:tcBorders>
              <w:top w:val="none"/>
              <w:bottom w:val="single" w:sz="12" w:space="0" w:color="000000"/>
              <w:left w:val="none"/>
              <w:right w:val="none"/>
            </w:tcBorders>
          </w:tcPr>
          <w:p>
            <w:r>
              <w:rPr>
                <w:rFonts w:ascii="SimSun" w:hAnsi="SimSun"/>
                <w:sz w:val="19"/>
              </w:rPr>
              <w:t>5\,dB -- 15\,dB</w:t>
            </w:r>
          </w:p>
        </w:tc>
      </w:tr>
    </w:tbl>
    <w:p/>
    <w:p>
      <w:pPr>
        <w:keepNext/>
        <w:spacing w:before="240" w:after="120"/>
      </w:pPr>
      <w:r>
        <w:rPr>
          <w:rFonts w:ascii="SimHei" w:hAnsi="SimHei" w:eastAsia="SimHei"/>
          <w:b/>
          <w:sz w:val="28"/>
        </w:rPr>
        <w:t>通感性能折中边界（Pareto 前沿）分析</w:t>
      </w:r>
    </w:p>
    <w:p>
      <w:pPr>
        <w:spacing w:line="324" w:lineRule="auto" w:after="80"/>
        <w:ind w:firstLine="403"/>
      </w:pPr>
      <w:r>
        <w:rPr>
          <w:rFonts w:ascii="SimSun" w:hAnsi="SimSun" w:eastAsia="SimSun"/>
          <w:sz w:val="24"/>
        </w:rPr>
        <w:t>在双功能雷达通信系统中，通信和速率与雷达感知克拉美罗下界之间的权衡边界构成了系统设计的理论物理极限。图~[图表] 给出了在不同发射功率预算与天线维度下，由所提算法求解得到的通信和速率关于感知精度倒数 1/\mathrm{CRB} 的 Pareto 折中前沿曲线。</w:t>
      </w:r>
    </w:p>
    <w:tbl>
      <w:tblPr>
        <w:tblW w:type="auto" w:w="0"/>
        <w:jc w:val="center"/>
        <w:tblLook w:firstColumn="1" w:firstRow="1" w:lastColumn="0" w:lastRow="0" w:noHBand="0" w:noVBand="1" w:val="04A0"/>
      </w:tblPr>
      <w:tblGrid>
        <w:gridCol w:w="1860"/>
        <w:gridCol w:w="1860"/>
        <w:gridCol w:w="1860"/>
        <w:gridCol w:w="1860"/>
        <w:gridCol w:w="1860"/>
      </w:tblGrid>
      <w:tr>
        <w:tc>
          <w:tcPr>
            <w:tcW w:type="dxa" w:w="1860"/>
            <w:tcBorders>
              <w:top w:val="single" w:sz="12" w:space="0" w:color="000000"/>
              <w:bottom w:val="single" w:sz="12" w:space="0" w:color="000000"/>
              <w:left w:val="none"/>
              <w:right w:val="none"/>
            </w:tcBorders>
          </w:tcPr>
          <w:p>
            <w:r>
              <w:rPr>
                <w:rFonts w:ascii="SimSun" w:hAnsi="SimSun"/>
                <w:sz w:val="19"/>
              </w:rPr>
              <w:t>算法与方案名称</w:t>
            </w:r>
          </w:p>
        </w:tc>
        <w:tc>
          <w:tcPr>
            <w:tcW w:type="dxa" w:w="1860"/>
            <w:tcBorders>
              <w:top w:val="single" w:sz="12" w:space="0" w:color="000000"/>
              <w:bottom w:val="single" w:sz="12" w:space="0" w:color="000000"/>
              <w:left w:val="none"/>
              <w:right w:val="none"/>
            </w:tcBorders>
          </w:tcPr>
          <w:p>
            <w:r>
              <w:rPr>
                <w:rFonts w:ascii="SimSun" w:hAnsi="SimSun"/>
                <w:sz w:val="19"/>
              </w:rPr>
              <w:t>平均下行和速率</w:t>
            </w:r>
          </w:p>
        </w:tc>
        <w:tc>
          <w:tcPr>
            <w:tcW w:type="dxa" w:w="1860"/>
            <w:tcBorders>
              <w:top w:val="single" w:sz="12" w:space="0" w:color="000000"/>
              <w:bottom w:val="single" w:sz="12" w:space="0" w:color="000000"/>
              <w:left w:val="none"/>
              <w:right w:val="none"/>
            </w:tcBorders>
          </w:tcPr>
          <w:p>
            <w:r>
              <w:rPr>
                <w:rFonts w:ascii="SimSun" w:hAnsi="SimSun"/>
                <w:sz w:val="19"/>
              </w:rPr>
              <w:t>感知测角 CRB</w:t>
            </w:r>
          </w:p>
        </w:tc>
        <w:tc>
          <w:tcPr>
            <w:tcW w:type="dxa" w:w="1860"/>
            <w:tcBorders>
              <w:top w:val="single" w:sz="12" w:space="0" w:color="000000"/>
              <w:bottom w:val="single" w:sz="12" w:space="0" w:color="000000"/>
              <w:left w:val="none"/>
              <w:right w:val="none"/>
            </w:tcBorders>
          </w:tcPr>
          <w:p>
            <w:r>
              <w:rPr>
                <w:rFonts w:ascii="SimSun" w:hAnsi="SimSun"/>
                <w:sz w:val="19"/>
              </w:rPr>
              <w:t>波形 PAPR</w:t>
            </w:r>
          </w:p>
        </w:tc>
        <w:tc>
          <w:tcPr>
            <w:tcW w:type="dxa" w:w="1860"/>
            <w:tcBorders>
              <w:top w:val="single" w:sz="12" w:space="0" w:color="000000"/>
              <w:bottom w:val="single" w:sz="12" w:space="0" w:color="000000"/>
              <w:left w:val="none"/>
              <w:right w:val="none"/>
            </w:tcBorders>
          </w:tcPr>
          <w:p>
            <w:r>
              <w:rPr>
                <w:rFonts w:ascii="SimSun" w:hAnsi="SimSun"/>
                <w:sz w:val="19"/>
              </w:rPr>
              <w:t>单步求解耗时</w:t>
            </w:r>
          </w:p>
        </w:tc>
      </w:tr>
      <w:tr>
        <w:tc>
          <w:tcPr>
            <w:tcW w:type="dxa" w:w="1860"/>
            <w:tcBorders>
              <w:top w:val="none"/>
              <w:bottom w:val="none"/>
              <w:left w:val="none"/>
              <w:right w:val="none"/>
            </w:tcBorders>
          </w:tcPr>
          <w:p>
            <w:r>
              <w:rPr>
                <w:rFonts w:ascii="SimSun" w:hAnsi="SimSun"/>
                <w:sz w:val="19"/>
              </w:rPr>
              <w:t>传统时分复用基准 (Time-Sharing)</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w:t>
            </w:r>
          </w:p>
        </w:tc>
        <w:tc>
          <w:tcPr>
            <w:tcW w:type="dxa" w:w="1860"/>
            <w:tcBorders>
              <w:top w:val="none"/>
              <w:bottom w:val="none"/>
              <w:left w:val="none"/>
              <w:right w:val="none"/>
            </w:tcBorders>
          </w:tcPr>
          <w:p>
            <w:r>
              <w:rPr>
                <w:rFonts w:ascii="SimSun" w:hAnsi="SimSun"/>
                <w:sz w:val="19"/>
              </w:rPr>
              <w:t>\TODO{待测}</w:t>
            </w:r>
          </w:p>
        </w:tc>
      </w:tr>
      <w:tr>
        <w:tc>
          <w:tcPr>
            <w:tcW w:type="dxa" w:w="1860"/>
            <w:tcBorders>
              <w:top w:val="none"/>
              <w:bottom w:val="none"/>
              <w:left w:val="none"/>
              <w:right w:val="none"/>
            </w:tcBorders>
          </w:tcPr>
          <w:p>
            <w:r>
              <w:rPr>
                <w:rFonts w:ascii="SimSun" w:hAnsi="SimSun"/>
                <w:sz w:val="19"/>
              </w:rPr>
              <w:t>通信优先迫零预编码基准 (Comm-Centric)</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w:t>
            </w:r>
          </w:p>
        </w:tc>
        <w:tc>
          <w:tcPr>
            <w:tcW w:type="dxa" w:w="1860"/>
            <w:tcBorders>
              <w:top w:val="none"/>
              <w:bottom w:val="none"/>
              <w:left w:val="none"/>
              <w:right w:val="none"/>
            </w:tcBorders>
          </w:tcPr>
          <w:p>
            <w:r>
              <w:rPr>
                <w:rFonts w:ascii="SimSun" w:hAnsi="SimSun"/>
                <w:sz w:val="19"/>
              </w:rPr>
              <w:t>\TODO{待测}</w:t>
            </w:r>
          </w:p>
        </w:tc>
      </w:tr>
      <w:tr>
        <w:tc>
          <w:tcPr>
            <w:tcW w:type="dxa" w:w="1860"/>
            <w:tcBorders>
              <w:top w:val="none"/>
              <w:bottom w:val="none"/>
              <w:left w:val="none"/>
              <w:right w:val="none"/>
            </w:tcBorders>
          </w:tcPr>
          <w:p>
            <w:r>
              <w:rPr>
                <w:rFonts w:ascii="SimSun" w:hAnsi="SimSun"/>
                <w:sz w:val="19"/>
              </w:rPr>
              <w:t>雷达优先波束赋形基准 (Radar-Centric)</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\TODO{待填真实数据}</w:t>
            </w:r>
          </w:p>
        </w:tc>
        <w:tc>
          <w:tcPr>
            <w:tcW w:type="dxa" w:w="1860"/>
            <w:tcBorders>
              <w:top w:val="none"/>
              <w:bottom w:val="none"/>
              <w:left w:val="none"/>
              <w:right w:val="none"/>
            </w:tcBorders>
          </w:tcPr>
          <w:p>
            <w:r>
              <w:rPr>
                <w:rFonts w:ascii="SimSun" w:hAnsi="SimSun"/>
                <w:sz w:val="19"/>
              </w:rPr>
              <w:t>\TODO{待填}</w:t>
            </w:r>
          </w:p>
        </w:tc>
        <w:tc>
          <w:tcPr>
            <w:tcW w:type="dxa" w:w="1860"/>
            <w:tcBorders>
              <w:top w:val="none"/>
              <w:bottom w:val="none"/>
              <w:left w:val="none"/>
              <w:right w:val="none"/>
            </w:tcBorders>
          </w:tcPr>
          <w:p>
            <w:r>
              <w:rPr>
                <w:rFonts w:ascii="SimSun" w:hAnsi="SimSun"/>
                <w:sz w:val="19"/>
              </w:rPr>
              <w:t>\TODO{待测}</w:t>
            </w:r>
          </w:p>
        </w:tc>
      </w:tr>
      <w:tr>
        <w:tc>
          <w:tcPr>
            <w:tcW w:type="dxa" w:w="1860"/>
            <w:tcBorders>
              <w:top w:val="none"/>
              <w:bottom w:val="single" w:sz="12" w:space="0" w:color="000000"/>
              <w:left w:val="none"/>
              <w:right w:val="none"/>
            </w:tcBorders>
          </w:tcPr>
          <w:p>
            <w:r>
              <w:rPr>
                <w:rFonts w:ascii="SimSun" w:hAnsi="SimSun"/>
                <w:sz w:val="19"/>
              </w:rPr>
              <w:t>本文所提 SCA-BCD 联合优化方案</w:t>
            </w:r>
          </w:p>
        </w:tc>
        <w:tc>
          <w:tcPr>
            <w:tcW w:type="dxa" w:w="1860"/>
            <w:tcBorders>
              <w:top w:val="none"/>
              <w:bottom w:val="single" w:sz="12" w:space="0" w:color="000000"/>
              <w:left w:val="none"/>
              <w:right w:val="none"/>
            </w:tcBorders>
          </w:tcPr>
          <w:p>
            <w:r>
              <w:rPr>
                <w:rFonts w:ascii="SimSun" w:hAnsi="SimSun"/>
                <w:sz w:val="19"/>
              </w:rPr>
              <w:t>\TODO{待填真实数据}</w:t>
            </w:r>
          </w:p>
        </w:tc>
        <w:tc>
          <w:tcPr>
            <w:tcW w:type="dxa" w:w="1860"/>
            <w:tcBorders>
              <w:top w:val="none"/>
              <w:bottom w:val="single" w:sz="12" w:space="0" w:color="000000"/>
              <w:left w:val="none"/>
              <w:right w:val="none"/>
            </w:tcBorders>
          </w:tcPr>
          <w:p>
            <w:r>
              <w:rPr>
                <w:rFonts w:ascii="SimSun" w:hAnsi="SimSun"/>
                <w:sz w:val="19"/>
              </w:rPr>
              <w:t>\TODO{待填真实数据}</w:t>
            </w:r>
          </w:p>
        </w:tc>
        <w:tc>
          <w:tcPr>
            <w:tcW w:type="dxa" w:w="1860"/>
            <w:tcBorders>
              <w:top w:val="none"/>
              <w:bottom w:val="single" w:sz="12" w:space="0" w:color="000000"/>
              <w:left w:val="none"/>
              <w:right w:val="none"/>
            </w:tcBorders>
          </w:tcPr>
          <w:p>
            <w:r>
              <w:rPr>
                <w:rFonts w:ascii="SimSun" w:hAnsi="SimSun"/>
                <w:sz w:val="19"/>
              </w:rPr>
              <w:t>\TODO{待填}</w:t>
            </w:r>
          </w:p>
        </w:tc>
        <w:tc>
          <w:tcPr>
            <w:tcW w:type="dxa" w:w="1860"/>
            <w:tcBorders>
              <w:top w:val="none"/>
              <w:bottom w:val="single" w:sz="12" w:space="0" w:color="000000"/>
              <w:left w:val="none"/>
              <w:right w:val="none"/>
            </w:tcBorders>
          </w:tcPr>
          <w:p>
            <w:r>
              <w:rPr>
                <w:rFonts w:ascii="SimSun" w:hAnsi="SimSun"/>
                <w:sz w:val="19"/>
              </w:rPr>
              <w:t>\TODO{待测}</w:t>
            </w:r>
          </w:p>
        </w:tc>
      </w:tr>
    </w:tbl>
    <w:p/>
    <w:p>
      <w:pPr>
        <w:keepNext/>
        <w:spacing w:before="240" w:after="120"/>
      </w:pPr>
      <w:r>
        <w:rPr>
          <w:rFonts w:ascii="SimHei" w:hAnsi="SimHei" w:eastAsia="SimHei"/>
          <w:b/>
          <w:sz w:val="28"/>
        </w:rPr>
        <w:t>多无人机机动轨迹与协同跟踪性能评估</w:t>
      </w:r>
    </w:p>
    <w:p>
      <w:pPr>
        <w:spacing w:line="324" w:lineRule="auto" w:after="80"/>
        <w:ind w:firstLine="403"/>
      </w:pPr>
      <w:r>
        <w:rPr>
          <w:rFonts w:ascii="SimSun" w:hAnsi="SimSun" w:eastAsia="SimSun"/>
          <w:sz w:val="24"/>
        </w:rPr>
        <w:t>图~[图表] 展示了在低空目标动态飞行工况下，多架协同无人机基于扩展卡尔曼滤波先验导引执行主动空间包围与协同感知的三维航迹仿真结果。</w:t>
      </w:r>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本章严格遵循学术规范化脚手架框架，详细定义了低空智联网无人机通感一体化仿真测试平台的参数空间与拓扑结构，绘制了理论 Pareto 折中曲线与多机协同机动轨迹图，并建立了规范的标准三线对比表脚手架，为后续实证数据的无缝注入提供了可靠标准接口。</w:t>
      </w:r>
    </w:p>
    <w:p>
      <w:pPr>
        <w:keepNext/>
        <w:pageBreakBefore/>
        <w:spacing w:before="240" w:after="120"/>
        <w:jc w:val="center"/>
      </w:pPr>
      <w:r>
        <w:rPr>
          <w:rFonts w:ascii="SimHei" w:hAnsi="SimHei" w:eastAsia="SimHei"/>
          <w:b/>
          <w:sz w:val="32"/>
        </w:rPr>
        <w:t>总结与展望</w:t>
      </w:r>
    </w:p>
    <w:p>
      <w:pPr>
        <w:keepNext/>
        <w:spacing w:before="240" w:after="120"/>
      </w:pPr>
      <w:r>
        <w:rPr>
          <w:rFonts w:ascii="SimHei" w:hAnsi="SimHei" w:eastAsia="SimHei"/>
          <w:b/>
          <w:sz w:val="28"/>
        </w:rPr>
        <w:t>全文工作总结</w:t>
      </w:r>
    </w:p>
    <w:p>
      <w:pPr>
        <w:spacing w:line="324" w:lineRule="auto" w:after="80"/>
        <w:ind w:firstLine="403"/>
      </w:pPr>
      <w:r>
        <w:rPr>
          <w:rFonts w:ascii="SimSun" w:hAnsi="SimSun" w:eastAsia="SimSun"/>
          <w:sz w:val="24"/>
        </w:rPr>
        <w:t>低空智联网作为支撑低空经济安全高效运转的数字中枢，对低空目标的实时连续感知与宽带数据交互提出了严苛的协同要求。本文针对低空无人机系统面临的空地强多径衰落、多普勒扩展以及通感资源竞争等关键理论矛盾，系统性开展了通感一体化波形联合设计与感知先验辅助资源管理技术研究，取得的主要成果总结如下：</w:t>
      </w:r>
    </w:p>
    <w:p>
      <w:pPr>
        <w:keepNext/>
        <w:spacing w:before="240" w:after="120"/>
      </w:pPr>
      <w:r>
        <w:rPr>
          <w:rFonts w:ascii="SimHei" w:hAnsi="SimHei" w:eastAsia="SimHei"/>
          <w:b/>
          <w:sz w:val="28"/>
        </w:rPr>
        <w:t>未来研究方向展望</w:t>
      </w:r>
    </w:p>
    <w:p>
      <w:pPr>
        <w:spacing w:line="324" w:lineRule="auto" w:after="80"/>
        <w:ind w:firstLine="403"/>
      </w:pPr>
      <w:r>
        <w:rPr>
          <w:rFonts w:ascii="SimSun" w:hAnsi="SimSun" w:eastAsia="SimSun"/>
          <w:sz w:val="24"/>
        </w:rPr>
        <w:t>结合未来 6G 网络演进趋势与低空产业实际发展需求，后续研究工作可在以下方向进一步拓展：</w:t>
      </w:r>
    </w:p>
    <w:p>
      <w:pPr>
        <w:spacing w:line="324" w:lineRule="auto" w:after="80"/>
        <w:ind w:firstLine="403"/>
      </w:pPr>
      <w:r>
        <w:rPr>
          <w:rFonts w:ascii="SimSun" w:hAnsi="SimSun" w:eastAsia="SimSun"/>
          <w:sz w:val="24"/>
        </w:rPr>
        <w:t>GU M, LIU Y, HUANGFU W. PAPR-Aware Joint Waveform Design of UAV-Enabled Integrated Sensing and Communication[J]. 2024 International Conference on Ubiquitous Communication (Ucom), 2024: 426-431. DOI: 10.1109/ucom62433.2024.10695936.</w:t>
      </w:r>
    </w:p>
    <w:p>
      <w:pPr>
        <w:spacing w:line="324" w:lineRule="auto" w:after="80"/>
        <w:ind w:firstLine="403"/>
      </w:pPr>
      <w:r>
        <w:rPr>
          <w:rFonts w:ascii="SimSun" w:hAnsi="SimSun" w:eastAsia="SimSun"/>
          <w:sz w:val="24"/>
        </w:rPr>
        <w:t>ZUO M, MA Z. Robust Waveform Design for Integrated Communication and Sensing[J]. IEEE Trans., 2025. DOI: 10.21203/rs.3.rs-7749769/v1.</w:t>
      </w:r>
    </w:p>
    <w:p>
      <w:pPr>
        <w:spacing w:line="324" w:lineRule="auto" w:after="80"/>
        <w:ind w:firstLine="403"/>
      </w:pPr>
      <w:r>
        <w:rPr>
          <w:rFonts w:ascii="SimSun" w:hAnsi="SimSun" w:eastAsia="SimSun"/>
          <w:sz w:val="24"/>
        </w:rPr>
        <w:t>LUO Z, WANG Z. Integrated sensing and communications waveform design: Fundamentals, applications, challenges[J]. Physical Communication, 2024, 67: 102532. DOI: 10.1016/j.phycom.2024.102532.</w:t>
      </w:r>
    </w:p>
    <w:p>
      <w:pPr>
        <w:spacing w:line="324" w:lineRule="auto" w:after="80"/>
        <w:ind w:firstLine="403"/>
      </w:pPr>
      <w:r>
        <w:rPr>
          <w:rFonts w:ascii="SimSun" w:hAnsi="SimSun" w:eastAsia="SimSun"/>
          <w:sz w:val="24"/>
        </w:rPr>
        <w:t>ZHAO X, WANG J, ZHANG X. Covert Waveform Design for Integrated Sensing and Communication System in Clutter Environment[J]. 2025 IEEE International Workshop on Information Forensics and Security (WIFS), 2025: 79-84. DOI: 10.1109/wifs66636.2025.00022.</w:t>
      </w:r>
    </w:p>
    <w:p>
      <w:pPr>
        <w:spacing w:line="324" w:lineRule="auto" w:after="80"/>
        <w:ind w:firstLine="403"/>
      </w:pPr>
      <w:r>
        <w:rPr>
          <w:rFonts w:ascii="SimSun" w:hAnsi="SimSun" w:eastAsia="SimSun"/>
          <w:sz w:val="24"/>
        </w:rPr>
        <w:t>XIONG J, YIN H, ZHU J, et al. An Overview of Waveform Design for Integrated Sensing and Communication[J]. 2022 IEEE/CIC International Conference on Communications in China (ICCC), 2022: 991-996. DOI: 10.1109/iccc55456.2022.9880851.</w:t>
      </w:r>
    </w:p>
    <w:p>
      <w:pPr>
        <w:spacing w:line="324" w:lineRule="auto" w:after="80"/>
        <w:ind w:firstLine="403"/>
      </w:pPr>
      <w:r>
        <w:rPr>
          <w:rFonts w:ascii="SimSun" w:hAnsi="SimSun" w:eastAsia="SimSun"/>
          <w:sz w:val="24"/>
        </w:rPr>
        <w:t>WAN Z, GAO Z, HÉLIOT F, et al. Orthogonal Chirp Division Multiplexing Waveform Design for 6G mmWave UAV Integrated Sensing and Communication[J]. 2024 International Wireless Communications and Mobile Computing (IWCMC), 2024: 622-627. DOI: 10.1109/iwcmc61514.2024.10592310.</w:t>
      </w:r>
    </w:p>
    <w:p>
      <w:pPr>
        <w:spacing w:line="324" w:lineRule="auto" w:after="80"/>
        <w:ind w:firstLine="403"/>
      </w:pPr>
      <w:r>
        <w:rPr>
          <w:rFonts w:ascii="SimSun" w:hAnsi="SimSun" w:eastAsia="SimSun"/>
          <w:sz w:val="24"/>
        </w:rPr>
        <w:t>QI Q, CHEN X, HUANG C, et al. DL-based Joint Waveform and Beamforming Design for Integrated Sensing and Communication[J]. 2023 IEEE Globecom Workshops (GC Wkshps), 2023: 110-116. DOI: 10.1109/gcwkshps58843.2023.10464912.</w:t>
      </w:r>
    </w:p>
    <w:p>
      <w:pPr>
        <w:spacing w:line="324" w:lineRule="auto" w:after="80"/>
        <w:ind w:firstLine="403"/>
      </w:pPr>
      <w:r>
        <w:rPr>
          <w:rFonts w:ascii="SimSun" w:hAnsi="SimSun" w:eastAsia="SimSun"/>
          <w:sz w:val="24"/>
        </w:rPr>
        <w:t>HUO Y, SHAN C, MA Y, et al. Waveform Design with Detection Probability Maximization for MIMO-OFDM Integrated Sensing and Communication System[J]. 2024 IEEE 99th Vehicular Technology Conference (VTC2024-Spring), 2024: 1-5. DOI: 10.1109/vtc2024-spring62846.2024.10683189.</w:t>
      </w:r>
    </w:p>
    <w:p>
      <w:pPr>
        <w:spacing w:line="324" w:lineRule="auto" w:after="80"/>
        <w:ind w:firstLine="403"/>
      </w:pPr>
      <w:r>
        <w:rPr>
          <w:rFonts w:ascii="SimSun" w:hAnsi="SimSun" w:eastAsia="SimSun"/>
          <w:sz w:val="24"/>
        </w:rPr>
        <w:t>ZHANG C, ZHANG Y, XING D, et al. Waveform Design for Vital Signs Detection in Integrated Sensing and Communication System[J]. 2025 IEEE/CIC International Conference on Communications in China (ICCC Workshops), 2025: 1-5. DOI: 10.1109/icccworkshops67136.2025.11148186.</w:t>
      </w:r>
    </w:p>
    <w:p>
      <w:pPr>
        <w:spacing w:line="324" w:lineRule="auto" w:after="80"/>
        <w:ind w:firstLine="403"/>
      </w:pPr>
      <w:r>
        <w:rPr>
          <w:rFonts w:ascii="SimSun" w:hAnsi="SimSun" w:eastAsia="SimSun"/>
          <w:sz w:val="24"/>
        </w:rPr>
        <w:t>ZHONG K, HU J, CONG Y, et al. Constant Modulus Waveform Design for Integrated Sensing and Communication Systems[J]. IGARSS 2022 - 2022 IEEE International Geoscience and Remote Sensing Symposium, 2022: 3736-3739. DOI: 10.1109/igarss46834.2022.9884898.</w:t>
      </w:r>
    </w:p>
    <w:p>
      <w:pPr>
        <w:spacing w:line="324" w:lineRule="auto" w:after="80"/>
        <w:ind w:firstLine="403"/>
      </w:pPr>
      <w:r>
        <w:rPr>
          <w:rFonts w:ascii="SimSun" w:hAnsi="SimSun" w:eastAsia="SimSun"/>
          <w:sz w:val="24"/>
        </w:rPr>
        <w:t>FU Y, HU S, QIAN Z, et al. Joint Beamforming and Trajectory Design for UAV-aided Integrated Sensing and Communication[J]. 2024 IEEE 24th International Conference on Communication Technology (ICCT), 2024: 1208-1213. DOI: 10.1109/icct62411.2024.10946379.</w:t>
      </w:r>
    </w:p>
    <w:p>
      <w:pPr>
        <w:spacing w:line="324" w:lineRule="auto" w:after="80"/>
        <w:ind w:firstLine="403"/>
      </w:pPr>
      <w:r>
        <w:rPr>
          <w:rFonts w:ascii="SimSun" w:hAnsi="SimSun" w:eastAsia="SimSun"/>
          <w:sz w:val="24"/>
        </w:rPr>
        <w:t>YIN H, MEN W, ZHANG L, et al. Low-PAPR OFDM Waveform Design without Spectral Efficiency Loss for Underwater Acoustic Integrated Sensing and Communication[J]. IEEE Transactions on Vehicular Technology, 2026: 1-16. DOI: 10.1109/tvt.2026.3727648.</w:t>
      </w:r>
    </w:p>
    <w:p>
      <w:pPr>
        <w:spacing w:line="324" w:lineRule="auto" w:after="80"/>
        <w:ind w:firstLine="403"/>
      </w:pPr>
      <w:r>
        <w:rPr>
          <w:rFonts w:ascii="SimSun" w:hAnsi="SimSun" w:eastAsia="SimSun"/>
          <w:sz w:val="24"/>
        </w:rPr>
        <w:t>ZHANG H. Joint Waveform and Phase Shift Design for RIS-Assisted Integrated Sensing and Communication Based on Mutual Information[J]. IEEE Communications Letters, 2022, 26(10): 2317-2321. DOI: 10.1109/lcomm.2022.3195062.</w:t>
      </w:r>
    </w:p>
    <w:p>
      <w:pPr>
        <w:spacing w:line="324" w:lineRule="auto" w:after="80"/>
        <w:ind w:firstLine="403"/>
      </w:pPr>
      <w:r>
        <w:rPr>
          <w:rFonts w:ascii="SimSun" w:hAnsi="SimSun" w:eastAsia="SimSun"/>
          <w:sz w:val="24"/>
        </w:rPr>
        <w:t>YU Z, YANG Y. Integrated Sensing and Communication Waveform Design for mmWave Vehicular Networks: A Subcarrier Classified Modulation Approach[J]. 2024 IEEE International Workshop on Radio Frequency and Antenna Technologies (iWRF&amp;amp;amp;AT), 2024: 310-314. DOI: 10.1109/iwrfat61200.2024.10594637.</w:t>
      </w:r>
    </w:p>
    <w:p>
      <w:pPr>
        <w:spacing w:line="324" w:lineRule="auto" w:after="80"/>
        <w:ind w:firstLine="403"/>
      </w:pPr>
      <w:r>
        <w:rPr>
          <w:rFonts w:ascii="SimSun" w:hAnsi="SimSun" w:eastAsia="SimSun"/>
          <w:sz w:val="24"/>
        </w:rPr>
        <w:t>WU S F, LEE M C, LEE T S. Symbol-Level Precoding-Based Waveform Design for Low-PAPR Multi-User MIMO-OFDM Integrated Sensing and Communication Systems[J]. ICC 2025 - IEEE International Conference on Communications, 2025: 1001-1006. DOI: 10.1109/icc52391.2025.11161635.</w:t>
      </w:r>
    </w:p>
    <w:p>
      <w:pPr>
        <w:spacing w:line="324" w:lineRule="auto" w:after="80"/>
        <w:ind w:firstLine="403"/>
      </w:pPr>
      <w:r>
        <w:rPr>
          <w:rFonts w:ascii="SimSun" w:hAnsi="SimSun" w:eastAsia="SimSun"/>
          <w:sz w:val="24"/>
        </w:rPr>
        <w:t>ZHOU Y, LIU X, LIU Y. Trade-off between Radar Sensing and Energy Consumption in Integrated Sensing, Computing, and Communication UAV Network[J]. 2024 IEEE 24th International Conference on Communication Technology (ICCT), 2024: 1378-1382. DOI: 10.1109/icct62411.2024.10946618.</w:t>
      </w:r>
    </w:p>
    <w:sectPr w:rsidR="00FC693F" w:rsidRPr="0006063C" w:rsidSect="00034616">
      <w:headerReference w:type="default" r:id="rId9"/>
      <w:pgSz w:w="12240" w:h="15840"/>
      <w:pgMar w:top="1699" w:right="1469" w:bottom="1411" w:left="14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Hei" w:hAnsi="SimHei" w:eastAsia="SimHei"/>
        <w:b/>
        <w:sz w:val="19"/>
        <w:color w:val="C00000"/>
      </w:rPr>
      <w:t>【SCAFFOLD DRAFT —— 仅供草稿审阅，严禁送审】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