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DC143C"/>
          <w:sz w:val="28"/>
        </w:rPr>
        <w:t>【SCAFFOLD DRAFT —— 本文含未验证脚手架数据，严禁外发或提交送审】</w:t>
      </w:r>
    </w:p>
    <w:p>
      <w:pPr>
        <w:keepNext/>
        <w:pageBreakBefore/>
        <w:spacing w:before="240" w:after="120"/>
        <w:jc w:val="center"/>
      </w:pPr>
      <w:r>
        <w:rPr>
          <w:rFonts w:ascii="SimHei" w:hAnsi="SimHei" w:eastAsia="SimHei"/>
          <w:b/>
          <w:sz w:val="32"/>
        </w:rPr>
        <w:t>北京大学硕士学位论文</w:t>
      </w:r>
    </w:p>
    <w:p>
      <w:pPr>
        <w:spacing w:after="600"/>
        <w:jc w:val="center"/>
      </w:pPr>
      <w:r>
        <w:rPr>
          <w:rFonts w:ascii="SimHei" w:hAnsi="SimHei" w:eastAsia="SimHei"/>
          <w:b/>
          <w:sz w:val="32"/>
        </w:rPr>
        <w:t>面向高速时变信道的轻量化自适应信源信道联合语义通信机制研究</w:t>
        <w:br/>
        <w:t>（学位论文草稿）</w:t>
      </w:r>
    </w:p>
    <w:p>
      <w:pPr>
        <w:keepNext/>
        <w:pageBreakBefore/>
        <w:spacing w:before="240" w:after="120"/>
        <w:jc w:val="center"/>
      </w:pPr>
      <w:r>
        <w:rPr>
          <w:rFonts w:ascii="SimHei" w:hAnsi="SimHei" w:eastAsia="SimHei"/>
          <w:b/>
          <w:sz w:val="32"/>
        </w:rPr>
        <w:t>绪论</w:t>
      </w:r>
    </w:p>
    <w:p>
      <w:pPr>
        <w:keepNext/>
        <w:spacing w:before="240" w:after="120"/>
      </w:pPr>
      <w:r>
        <w:rPr>
          <w:rFonts w:ascii="SimHei" w:hAnsi="SimHei" w:eastAsia="SimHei"/>
          <w:b/>
          <w:sz w:val="28"/>
        </w:rPr>
        <w:t>研究背景与科学意义</w:t>
      </w:r>
    </w:p>
    <w:p>
      <w:pPr>
        <w:spacing w:line="324" w:lineRule="auto" w:after="80"/>
        <w:ind w:firstLine="403"/>
      </w:pPr>
      <w:r>
        <w:rPr>
          <w:rFonts w:ascii="SimSun" w:hAnsi="SimSun" w:eastAsia="SimSun"/>
          <w:sz w:val="24"/>
        </w:rPr>
        <w:t>自 1948 年克劳德·香农发表《通信的数学理论》以来，现代数字通信系统一直严格构建于经典信息论体系之上。其中，香农信源信道分离定理（Shannon's Separation Coding Theorem）确立了将物理通信链路划分为独立的信源编码（Source Coding，负责消除信源统计冗余）与信道编码（Channel Coding，负责按需添加校验保护冗余）的基本架构范式。在点对点平稳通信信道且假定传输码长趋向于无穷大（n \to \infty）的理想渐进条件下，该分离架构被严格证明能够达到信道容量极限，奠定了从 1G 到 5G 移动通信技术的物理层根基。</w:t>
      </w:r>
    </w:p>
    <w:p>
      <w:pPr>
        <w:spacing w:line="324" w:lineRule="auto" w:after="80"/>
        <w:ind w:firstLine="403"/>
      </w:pPr>
      <w:r>
        <w:rPr>
          <w:rFonts w:ascii="SimSun" w:hAnsi="SimSun" w:eastAsia="SimSun"/>
          <w:sz w:val="24"/>
        </w:rPr>
        <w:t>然而，迈入第六代移动通信系统（6G）演进周期，空天地海一体化互联、车联网（V2X）多车协同决策以及具身智能实时遥操作等极端前沿场景，对物理层传输提出了兼具“超高可靠”与“微秒级超低时延”的双重严苛约束。在这些核心场景中，传统香农分立架构遭遇了不可回避的技术死结：</w:t>
      </w:r>
    </w:p>
    <w:p>
      <w:pPr>
        <w:spacing w:line="324" w:lineRule="auto" w:after="80"/>
        <w:ind w:firstLine="403"/>
      </w:pPr>
      <w:r>
        <w:rPr>
          <w:rFonts w:ascii="SimSun" w:hAnsi="SimSun" w:eastAsia="SimSun"/>
          <w:sz w:val="24"/>
        </w:rPr>
        <w:t>针对这一根本性瓶颈，语义通信（Semantic Communications）与深度联合信源信道编码（Deep Joint Source-Channel Coding, Deep JSCC）应运而生。通过构建非线性可微分特征映射算子，Deep JSCC 将多媒体信息直接编码为连续信道波形，从机理上消除了量化截断与离散门限，实现了随信道状态恶化时的平滑优雅降级（Graceful Degradation），成为 6G 物理层革命性候选技术之一。</w:t>
      </w:r>
    </w:p>
    <w:p>
      <w:pPr>
        <w:keepNext/>
        <w:spacing w:before="240" w:after="120"/>
      </w:pPr>
      <w:r>
        <w:rPr>
          <w:rFonts w:ascii="SimHei" w:hAnsi="SimHei" w:eastAsia="SimHei"/>
          <w:b/>
          <w:sz w:val="28"/>
        </w:rPr>
        <w:t>国内外研究现状概述</w:t>
      </w:r>
    </w:p>
    <w:p>
      <w:pPr>
        <w:spacing w:line="324" w:lineRule="auto" w:after="80"/>
        <w:ind w:firstLine="403"/>
      </w:pPr>
      <w:r>
        <w:rPr>
          <w:rFonts w:ascii="SimSun" w:hAnsi="SimSun" w:eastAsia="SimSun"/>
          <w:sz w:val="24"/>
        </w:rPr>
        <w:t>近年来，国内外顶尖高校与科研机构（如北京大学、帝国理工学院、清华大学、北京邮电大学等）在 Deep JSCC 领域开展了大量开拓性工作：</w:t>
      </w:r>
    </w:p>
    <w:p>
      <w:pPr>
        <w:spacing w:line="324" w:lineRule="auto" w:after="80"/>
        <w:ind w:firstLine="403"/>
      </w:pPr>
      <w:r>
        <w:rPr>
          <w:rFonts w:ascii="SimSun" w:hAnsi="SimSun" w:eastAsia="SimSun"/>
          <w:sz w:val="24"/>
        </w:rPr>
        <w:t>有关各流派的具体数学机理、横向参数对比矩阵以及目前学术界悬而未决的信噪比失配难题，将在本论文第二章中展开详尽述评。</w:t>
      </w:r>
    </w:p>
    <w:p>
      <w:pPr>
        <w:keepNext/>
        <w:spacing w:before="240" w:after="120"/>
      </w:pPr>
      <w:r>
        <w:rPr>
          <w:rFonts w:ascii="SimHei" w:hAnsi="SimHei" w:eastAsia="SimHei"/>
          <w:b/>
          <w:sz w:val="28"/>
        </w:rPr>
        <w:t>论文主要研究内容与核心创新点</w:t>
      </w:r>
    </w:p>
    <w:p>
      <w:pPr>
        <w:spacing w:line="324" w:lineRule="auto" w:after="80"/>
        <w:ind w:firstLine="403"/>
      </w:pPr>
      <w:r>
        <w:rPr>
          <w:rFonts w:ascii="SimSun" w:hAnsi="SimSun" w:eastAsia="SimSun"/>
          <w:sz w:val="24"/>
        </w:rPr>
        <w:t>针对高速移动时变信道下信噪比动态跳变诱发的模型性能崩溃问题，本文以轻量化、自适应、硬件兼容为核心攻关导向，主要研究内容涵盖以下三个维度：</w:t>
      </w:r>
    </w:p>
    <w:p>
      <w:pPr>
        <w:keepNext/>
        <w:spacing w:before="240" w:after="120"/>
      </w:pPr>
      <w:r>
        <w:rPr>
          <w:rFonts w:ascii="SimHei" w:hAnsi="SimHei" w:eastAsia="SimHei"/>
          <w:b/>
          <w:sz w:val="28"/>
        </w:rPr>
        <w:t>论文的组织结构安排</w:t>
      </w:r>
    </w:p>
    <w:p>
      <w:pPr>
        <w:spacing w:line="324" w:lineRule="auto" w:after="80"/>
        <w:ind w:firstLine="403"/>
      </w:pPr>
      <w:r>
        <w:rPr>
          <w:rFonts w:ascii="SimSun" w:hAnsi="SimSun" w:eastAsia="SimSun"/>
          <w:sz w:val="24"/>
        </w:rPr>
        <w:t>本论文各章节的组织编排如下：</w:t>
      </w:r>
    </w:p>
    <w:p>
      <w:pPr>
        <w:keepNext/>
        <w:pageBreakBefore/>
        <w:spacing w:before="240" w:after="120"/>
        <w:jc w:val="center"/>
      </w:pPr>
      <w:r>
        <w:rPr>
          <w:rFonts w:ascii="SimHei" w:hAnsi="SimHei" w:eastAsia="SimHei"/>
          <w:b/>
          <w:sz w:val="32"/>
        </w:rPr>
        <w:t>国内外研究现状与理论基础</w:t>
      </w:r>
    </w:p>
    <w:p>
      <w:pPr>
        <w:spacing w:line="324" w:lineRule="auto" w:after="80"/>
        <w:ind w:firstLine="403"/>
      </w:pPr>
      <w:r>
        <w:rPr>
          <w:rFonts w:ascii="SimSun" w:hAnsi="SimSun" w:eastAsia="SimSun"/>
          <w:sz w:val="24"/>
        </w:rPr>
        <w:t>本章针对 6G 语义通信与深度信源信道联合编码（Deep JSCC）的理论基础与最新前沿进展展开系统述评。首先梳理该技术从经典香农分立范式向端到端智能通信演进的历史脉络，接着对当前三大主流技术流派进行深入机理剖析，随后采用标准学术三线表形式开展定量与定性横向对比，最后指明当前学术界公认尚未解决的深层死结，从而引出本文的研究动机。</w:t>
      </w:r>
    </w:p>
    <w:p>
      <w:pPr>
        <w:keepNext/>
        <w:spacing w:before="240" w:after="120"/>
      </w:pPr>
      <w:r>
        <w:rPr>
          <w:rFonts w:ascii="SimHei" w:hAnsi="SimHei" w:eastAsia="SimHei"/>
          <w:b/>
          <w:sz w:val="28"/>
        </w:rPr>
        <w:t>语义通信的演进历程与理论根基</w:t>
      </w:r>
    </w:p>
    <w:p>
      <w:pPr>
        <w:spacing w:line="324" w:lineRule="auto" w:after="80"/>
        <w:ind w:firstLine="403"/>
      </w:pPr>
      <w:r>
        <w:rPr>
          <w:rFonts w:ascii="SimSun" w:hAnsi="SimSun" w:eastAsia="SimSun"/>
          <w:sz w:val="24"/>
        </w:rPr>
        <w:t>早在 1949 年，Warren Weaver 在香农理论的基础上，系统性地提出了通信系统的三层技术模型：</w:t>
      </w:r>
    </w:p>
    <w:p>
      <w:pPr>
        <w:spacing w:line="324" w:lineRule="auto" w:after="80"/>
        <w:ind w:firstLine="403"/>
      </w:pPr>
      <w:r>
        <w:rPr>
          <w:rFonts w:ascii="SimSun" w:hAnsi="SimSun" w:eastAsia="SimSun"/>
          <w:sz w:val="24"/>
        </w:rPr>
        <w:t>过去七十余年间，通信工程界主要致力于逼近 Level A 的香农极限。然而，随着深度神经网络在复杂多模态特征抽取与流形映射领域的突破，学术界开始实质性探索 Level B 与 Level C 的实现路径。</w:t>
      </w:r>
    </w:p>
    <w:p>
      <w:pPr>
        <w:keepNext/>
        <w:spacing w:before="240" w:after="120"/>
      </w:pPr>
      <w:r>
        <w:rPr>
          <w:rFonts w:ascii="SimHei" w:hAnsi="SimHei" w:eastAsia="SimHei"/>
          <w:b/>
          <w:sz w:val="28"/>
        </w:rPr>
        <w:t>主流技术流派分类剖析</w:t>
      </w:r>
    </w:p>
    <w:p>
      <w:pPr>
        <w:spacing w:line="324" w:lineRule="auto" w:after="80"/>
        <w:ind w:firstLine="403"/>
      </w:pPr>
      <w:r>
        <w:rPr>
          <w:rFonts w:ascii="SimSun" w:hAnsi="SimSun" w:eastAsia="SimSun"/>
          <w:sz w:val="24"/>
        </w:rPr>
        <w:t>结合国际权威期刊（如 IEEE JSAC, IEEE TSP, IEEE TWC）的最新研究，当前主流 Deep JSCC 技术可系统归纳为以下三大技术流派：</w:t>
      </w:r>
    </w:p>
    <w:p>
      <w:pPr>
        <w:keepNext/>
        <w:spacing w:before="240" w:after="120"/>
      </w:pPr>
      <w:r>
        <w:rPr>
          <w:rFonts w:ascii="SimHei" w:hAnsi="SimHei" w:eastAsia="SimHei"/>
          <w:b/>
          <w:sz w:val="26"/>
        </w:rPr>
        <w:t>基于连续模拟映射的端到端联合编解码 (Continuous Deep JSCC)</w:t>
      </w:r>
    </w:p>
    <w:p>
      <w:pPr>
        <w:spacing w:line="324" w:lineRule="auto" w:after="80"/>
        <w:ind w:firstLine="403"/>
      </w:pPr>
      <w:r>
        <w:rPr>
          <w:rFonts w:ascii="SimSun" w:hAnsi="SimSun" w:eastAsia="SimSun"/>
          <w:sz w:val="24"/>
        </w:rPr>
        <w:t>该技术流派的核心思想在于彻底摒弃传统的离散标量/矢量量化步骤，将深度编码器输出的连续潜在特征直接作为信道物理波形的同相（I）和正交（Q）模拟分量发送。</w:t>
      </w:r>
    </w:p>
    <w:p>
      <w:pPr>
        <w:spacing w:line="324" w:lineRule="auto" w:after="80"/>
        <w:ind w:firstLine="403"/>
      </w:pPr>
      <w:r>
        <w:rPr>
          <w:rFonts w:ascii="SimSun" w:hAnsi="SimSun" w:eastAsia="SimSun"/>
          <w:sz w:val="24"/>
        </w:rPr>
        <w:t>代表性工作如 Xie 等人~[文献] 提出的面向短文本传输的端到端收发机，以及 Dai 等人~[文献] 提出的非线性变换自适应传输架构（NTSCC）。</w:t>
      </w:r>
    </w:p>
    <w:p>
      <w:pPr>
        <w:keepNext/>
        <w:spacing w:before="240" w:after="120"/>
      </w:pPr>
      <w:r>
        <w:rPr>
          <w:rFonts w:ascii="SimHei" w:hAnsi="SimHei" w:eastAsia="SimHei"/>
          <w:b/>
          <w:sz w:val="26"/>
        </w:rPr>
        <w:t>面向现存数字硬件架构的可微分数字通信 (Digital D²-JSCC)</w:t>
      </w:r>
    </w:p>
    <w:p>
      <w:pPr>
        <w:spacing w:line="324" w:lineRule="auto" w:after="80"/>
        <w:ind w:firstLine="403"/>
      </w:pPr>
      <w:r>
        <w:rPr>
          <w:rFonts w:ascii="SimSun" w:hAnsi="SimSun" w:eastAsia="SimSun"/>
          <w:sz w:val="24"/>
        </w:rPr>
        <w:t>为了打破上述理论与商用硬件之间的鸿沟，以 Huang 等人~[文献] 为代表的研究团队提出了数字深度联合信源信道编码架构（D^2-JSCC）。该方案在神经网络中引入可微分近似量化层（如直通估计器 STE 或退火 Gumbel-Softmax），迫使潜在特征自适应对齐至标准正交幅度调制（QAM）星座点。</w:t>
      </w:r>
    </w:p>
    <w:p>
      <w:pPr>
        <w:keepNext/>
        <w:spacing w:before="240" w:after="120"/>
      </w:pPr>
      <w:r>
        <w:rPr>
          <w:rFonts w:ascii="SimHei" w:hAnsi="SimHei" w:eastAsia="SimHei"/>
          <w:b/>
          <w:sz w:val="26"/>
        </w:rPr>
        <w:t>面向特定控制与感知任务的解耦式传输 (Task-Oriented JSCC)</w:t>
      </w:r>
    </w:p>
    <w:p>
      <w:pPr>
        <w:spacing w:line="324" w:lineRule="auto" w:after="80"/>
        <w:ind w:firstLine="403"/>
      </w:pPr>
      <w:r>
        <w:rPr>
          <w:rFonts w:ascii="SimSun" w:hAnsi="SimSun" w:eastAsia="SimSun"/>
          <w:sz w:val="24"/>
        </w:rPr>
        <w:t>Lyu 等人~[文献] 等学者针对车联网协同决策、无人机图传等特定业务场景，提出了将语义特征解耦为主观视觉重建分支与客观决策特征分支的架构。</w:t>
      </w:r>
    </w:p>
    <w:p>
      <w:pPr>
        <w:keepNext/>
        <w:spacing w:before="240" w:after="120"/>
      </w:pPr>
      <w:r>
        <w:rPr>
          <w:rFonts w:ascii="SimHei" w:hAnsi="SimHei" w:eastAsia="SimHei"/>
          <w:b/>
          <w:sz w:val="28"/>
        </w:rPr>
        <w:t>核心代表性文献多维属性横向对比</w:t>
      </w:r>
    </w:p>
    <w:p>
      <w:pPr>
        <w:spacing w:line="324" w:lineRule="auto" w:after="80"/>
        <w:ind w:firstLine="403"/>
      </w:pPr>
      <w:r>
        <w:rPr>
          <w:rFonts w:ascii="SimSun" w:hAnsi="SimSun" w:eastAsia="SimSun"/>
          <w:sz w:val="24"/>
        </w:rPr>
        <w:t>表~[图表] 系统归纳了当前领域内六项最具代表性学术工作的核心参数、复杂度特征与学术定位。</w:t>
      </w:r>
    </w:p>
    <w:tbl>
      <w:tblPr>
        <w:tblW w:type="auto" w:w="0"/>
        <w:jc w:val="center"/>
        <w:tblLook w:firstColumn="1" w:firstRow="1" w:lastColumn="0" w:lastRow="0" w:noHBand="0" w:noVBand="1" w:val="04A0"/>
      </w:tblPr>
      <w:tblGrid>
        <w:gridCol w:w="1329"/>
        <w:gridCol w:w="1329"/>
        <w:gridCol w:w="1329"/>
        <w:gridCol w:w="1329"/>
        <w:gridCol w:w="1329"/>
        <w:gridCol w:w="1329"/>
        <w:gridCol w:w="1329"/>
      </w:tblGrid>
      <w:tr>
        <w:tc>
          <w:tcPr>
            <w:tcW w:type="dxa" w:w="1329"/>
            <w:tcBorders>
              <w:top w:val="single" w:sz="12" w:space="0" w:color="000000"/>
              <w:bottom w:val="single" w:sz="12" w:space="0" w:color="000000"/>
              <w:left w:val="none"/>
              <w:right w:val="none"/>
            </w:tcBorders>
          </w:tcPr>
          <w:p>
            <w:r>
              <w:rPr>
                <w:rFonts w:ascii="SimSun" w:hAnsi="SimSun"/>
                <w:sz w:val="19"/>
              </w:rPr>
              <w:t>序号</w:t>
            </w:r>
          </w:p>
        </w:tc>
        <w:tc>
          <w:tcPr>
            <w:tcW w:type="dxa" w:w="1329"/>
            <w:tcBorders>
              <w:top w:val="single" w:sz="12" w:space="0" w:color="000000"/>
              <w:bottom w:val="single" w:sz="12" w:space="0" w:color="000000"/>
              <w:left w:val="none"/>
              <w:right w:val="none"/>
            </w:tcBorders>
          </w:tcPr>
          <w:p>
            <w:r>
              <w:rPr>
                <w:rFonts w:ascii="SimSun" w:hAnsi="SimSun"/>
                <w:sz w:val="19"/>
              </w:rPr>
              <w:t>代表文献</w:t>
            </w:r>
          </w:p>
        </w:tc>
        <w:tc>
          <w:tcPr>
            <w:tcW w:type="dxa" w:w="1329"/>
            <w:tcBorders>
              <w:top w:val="single" w:sz="12" w:space="0" w:color="000000"/>
              <w:bottom w:val="single" w:sz="12" w:space="0" w:color="000000"/>
              <w:left w:val="none"/>
              <w:right w:val="none"/>
            </w:tcBorders>
          </w:tcPr>
          <w:p>
            <w:r>
              <w:rPr>
                <w:rFonts w:ascii="SimSun" w:hAnsi="SimSun"/>
                <w:sz w:val="19"/>
              </w:rPr>
              <w:t>发表期刊/会议</w:t>
            </w:r>
          </w:p>
        </w:tc>
        <w:tc>
          <w:tcPr>
            <w:tcW w:type="dxa" w:w="1329"/>
            <w:tcBorders>
              <w:top w:val="single" w:sz="12" w:space="0" w:color="000000"/>
              <w:bottom w:val="single" w:sz="12" w:space="0" w:color="000000"/>
              <w:left w:val="none"/>
              <w:right w:val="none"/>
            </w:tcBorders>
          </w:tcPr>
          <w:p>
            <w:r>
              <w:rPr>
                <w:rFonts w:ascii="SimSun" w:hAnsi="SimSun"/>
                <w:sz w:val="19"/>
              </w:rPr>
              <w:t>核心技术机制</w:t>
            </w:r>
          </w:p>
        </w:tc>
        <w:tc>
          <w:tcPr>
            <w:tcW w:type="dxa" w:w="1329"/>
            <w:tcBorders>
              <w:top w:val="single" w:sz="12" w:space="0" w:color="000000"/>
              <w:bottom w:val="single" w:sz="12" w:space="0" w:color="000000"/>
              <w:left w:val="none"/>
              <w:right w:val="none"/>
            </w:tcBorders>
          </w:tcPr>
          <w:p>
            <w:r>
              <w:rPr>
                <w:rFonts w:ascii="SimSun" w:hAnsi="SimSun"/>
                <w:sz w:val="19"/>
              </w:rPr>
              <w:t>传输模态</w:t>
            </w:r>
          </w:p>
        </w:tc>
        <w:tc>
          <w:tcPr>
            <w:tcW w:type="dxa" w:w="1329"/>
            <w:tcBorders>
              <w:top w:val="single" w:sz="12" w:space="0" w:color="000000"/>
              <w:bottom w:val="single" w:sz="12" w:space="0" w:color="000000"/>
              <w:left w:val="none"/>
              <w:right w:val="none"/>
            </w:tcBorders>
          </w:tcPr>
          <w:p>
            <w:r>
              <w:rPr>
                <w:rFonts w:ascii="SimSun" w:hAnsi="SimSun"/>
                <w:sz w:val="19"/>
              </w:rPr>
              <w:t>核心量化增益</w:t>
            </w:r>
          </w:p>
        </w:tc>
        <w:tc>
          <w:tcPr>
            <w:tcW w:type="dxa" w:w="1329"/>
            <w:tcBorders>
              <w:top w:val="single" w:sz="12" w:space="0" w:color="000000"/>
              <w:bottom w:val="single" w:sz="12" w:space="0" w:color="000000"/>
              <w:left w:val="none"/>
              <w:right w:val="none"/>
            </w:tcBorders>
          </w:tcPr>
          <w:p>
            <w:r>
              <w:rPr>
                <w:rFonts w:ascii="SimSun" w:hAnsi="SimSun"/>
                <w:sz w:val="19"/>
              </w:rPr>
              <w:t>硬件兼容性</w:t>
            </w:r>
          </w:p>
        </w:tc>
      </w:tr>
      <w:tr>
        <w:tc>
          <w:tcPr>
            <w:tcW w:type="dxa" w:w="1329"/>
            <w:tcBorders>
              <w:top w:val="none"/>
              <w:bottom w:val="none"/>
              <w:left w:val="none"/>
              <w:right w:val="none"/>
            </w:tcBorders>
          </w:tcPr>
          <w:p>
            <w:r>
              <w:rPr>
                <w:rFonts w:ascii="SimSun" w:hAnsi="SimSun"/>
                <w:sz w:val="19"/>
              </w:rPr>
              <w:t>1</w:t>
            </w:r>
          </w:p>
        </w:tc>
        <w:tc>
          <w:tcPr>
            <w:tcW w:type="dxa" w:w="1329"/>
            <w:tcBorders>
              <w:top w:val="none"/>
              <w:bottom w:val="none"/>
              <w:left w:val="none"/>
              <w:right w:val="none"/>
            </w:tcBorders>
          </w:tcPr>
          <w:p>
            <w:r>
              <w:rPr>
                <w:rFonts w:ascii="SimSun" w:hAnsi="SimSun"/>
                <w:sz w:val="19"/>
              </w:rPr>
              <w:t>Xie et al.~[文献]</w:t>
            </w:r>
          </w:p>
        </w:tc>
        <w:tc>
          <w:tcPr>
            <w:tcW w:type="dxa" w:w="1329"/>
            <w:tcBorders>
              <w:top w:val="none"/>
              <w:bottom w:val="none"/>
              <w:left w:val="none"/>
              <w:right w:val="none"/>
            </w:tcBorders>
          </w:tcPr>
          <w:p>
            <w:r>
              <w:rPr>
                <w:rFonts w:ascii="SimSun" w:hAnsi="SimSun"/>
                <w:sz w:val="19"/>
              </w:rPr>
              <w:t>2021 IEEE TSP</w:t>
            </w:r>
          </w:p>
        </w:tc>
        <w:tc>
          <w:tcPr>
            <w:tcW w:type="dxa" w:w="1329"/>
            <w:tcBorders>
              <w:top w:val="none"/>
              <w:bottom w:val="none"/>
              <w:left w:val="none"/>
              <w:right w:val="none"/>
            </w:tcBorders>
          </w:tcPr>
          <w:p>
            <w:r>
              <w:rPr>
                <w:rFonts w:ascii="SimSun" w:hAnsi="SimSun"/>
                <w:sz w:val="19"/>
              </w:rPr>
              <w:t>Transformer 端到端自编码</w:t>
            </w:r>
          </w:p>
        </w:tc>
        <w:tc>
          <w:tcPr>
            <w:tcW w:type="dxa" w:w="1329"/>
            <w:tcBorders>
              <w:top w:val="none"/>
              <w:bottom w:val="none"/>
              <w:left w:val="none"/>
              <w:right w:val="none"/>
            </w:tcBorders>
          </w:tcPr>
          <w:p>
            <w:r>
              <w:rPr>
                <w:rFonts w:ascii="SimSun" w:hAnsi="SimSun"/>
                <w:sz w:val="19"/>
              </w:rPr>
              <w:t>短文本语义</w:t>
            </w:r>
          </w:p>
        </w:tc>
        <w:tc>
          <w:tcPr>
            <w:tcW w:type="dxa" w:w="1329"/>
            <w:tcBorders>
              <w:top w:val="none"/>
              <w:bottom w:val="none"/>
              <w:left w:val="none"/>
              <w:right w:val="none"/>
            </w:tcBorders>
          </w:tcPr>
          <w:p>
            <w:r>
              <w:rPr>
                <w:rFonts w:ascii="SimSun" w:hAnsi="SimSun"/>
                <w:sz w:val="19"/>
              </w:rPr>
              <w:t>低 SNR 下 BLEU 提 40</w:t>
            </w:r>
          </w:p>
        </w:tc>
        <w:tc>
          <w:tcPr>
            <w:tcW w:type="dxa" w:w="1329"/>
            <w:tcBorders>
              <w:top w:val="none"/>
              <w:bottom w:val="none"/>
              <w:left w:val="none"/>
              <w:right w:val="none"/>
            </w:tcBorders>
          </w:tcPr>
          <w:p>
            <w:r>
              <w:rPr>
                <w:rFonts w:ascii="SimSun" w:hAnsi="SimSun"/>
                <w:sz w:val="19"/>
              </w:rPr>
            </w:r>
          </w:p>
        </w:tc>
      </w:tr>
      <w:tr>
        <w:tc>
          <w:tcPr>
            <w:tcW w:type="dxa" w:w="1329"/>
            <w:tcBorders>
              <w:top w:val="none"/>
              <w:bottom w:val="none"/>
              <w:left w:val="none"/>
              <w:right w:val="none"/>
            </w:tcBorders>
          </w:tcPr>
          <w:p>
            <w:r>
              <w:rPr>
                <w:rFonts w:ascii="SimSun" w:hAnsi="SimSun"/>
                <w:sz w:val="19"/>
              </w:rPr>
              <w:t>2</w:t>
            </w:r>
          </w:p>
        </w:tc>
        <w:tc>
          <w:tcPr>
            <w:tcW w:type="dxa" w:w="1329"/>
            <w:tcBorders>
              <w:top w:val="none"/>
              <w:bottom w:val="none"/>
              <w:left w:val="none"/>
              <w:right w:val="none"/>
            </w:tcBorders>
          </w:tcPr>
          <w:p>
            <w:r>
              <w:rPr>
                <w:rFonts w:ascii="SimSun" w:hAnsi="SimSun"/>
                <w:sz w:val="19"/>
              </w:rPr>
              <w:t>Dai et al.~[文献]</w:t>
            </w:r>
          </w:p>
        </w:tc>
        <w:tc>
          <w:tcPr>
            <w:tcW w:type="dxa" w:w="1329"/>
            <w:tcBorders>
              <w:top w:val="none"/>
              <w:bottom w:val="none"/>
              <w:left w:val="none"/>
              <w:right w:val="none"/>
            </w:tcBorders>
          </w:tcPr>
          <w:p>
            <w:r>
              <w:rPr>
                <w:rFonts w:ascii="SimSun" w:hAnsi="SimSun"/>
                <w:sz w:val="19"/>
              </w:rPr>
              <w:t>2022 IEEE JSAC</w:t>
            </w:r>
          </w:p>
        </w:tc>
        <w:tc>
          <w:tcPr>
            <w:tcW w:type="dxa" w:w="1329"/>
            <w:tcBorders>
              <w:top w:val="none"/>
              <w:bottom w:val="none"/>
              <w:left w:val="none"/>
              <w:right w:val="none"/>
            </w:tcBorders>
          </w:tcPr>
          <w:p>
            <w:r>
              <w:rPr>
                <w:rFonts w:ascii="SimSun" w:hAnsi="SimSun"/>
                <w:sz w:val="19"/>
              </w:rPr>
              <w:t>变分非线性流形变换自编码</w:t>
            </w:r>
          </w:p>
        </w:tc>
        <w:tc>
          <w:tcPr>
            <w:tcW w:type="dxa" w:w="1329"/>
            <w:tcBorders>
              <w:top w:val="none"/>
              <w:bottom w:val="none"/>
              <w:left w:val="none"/>
              <w:right w:val="none"/>
            </w:tcBorders>
          </w:tcPr>
          <w:p>
            <w:r>
              <w:rPr>
                <w:rFonts w:ascii="SimSun" w:hAnsi="SimSun"/>
                <w:sz w:val="19"/>
              </w:rPr>
              <w:t>高清图像</w:t>
            </w:r>
          </w:p>
        </w:tc>
        <w:tc>
          <w:tcPr>
            <w:tcW w:type="dxa" w:w="1329"/>
            <w:tcBorders>
              <w:top w:val="none"/>
              <w:bottom w:val="none"/>
              <w:left w:val="none"/>
              <w:right w:val="none"/>
            </w:tcBorders>
          </w:tcPr>
          <w:p>
            <w:r>
              <w:rPr>
                <w:rFonts w:ascii="SimSun" w:hAnsi="SimSun"/>
                <w:sz w:val="19"/>
              </w:rPr>
              <w:t>彻底消灭断崖, PSNR 提 3.8dB</w:t>
            </w:r>
          </w:p>
        </w:tc>
        <w:tc>
          <w:tcPr>
            <w:tcW w:type="dxa" w:w="1329"/>
            <w:tcBorders>
              <w:top w:val="none"/>
              <w:bottom w:val="none"/>
              <w:left w:val="none"/>
              <w:right w:val="none"/>
            </w:tcBorders>
          </w:tcPr>
          <w:p>
            <w:r>
              <w:rPr>
                <w:rFonts w:ascii="SimSun" w:hAnsi="SimSun"/>
                <w:sz w:val="19"/>
              </w:rPr>
              <w:t>模拟/不兼容</w:t>
            </w:r>
          </w:p>
        </w:tc>
      </w:tr>
      <w:tr>
        <w:tc>
          <w:tcPr>
            <w:tcW w:type="dxa" w:w="1329"/>
            <w:tcBorders>
              <w:top w:val="none"/>
              <w:bottom w:val="none"/>
              <w:left w:val="none"/>
              <w:right w:val="none"/>
            </w:tcBorders>
          </w:tcPr>
          <w:p>
            <w:r>
              <w:rPr>
                <w:rFonts w:ascii="SimSun" w:hAnsi="SimSun"/>
                <w:sz w:val="19"/>
              </w:rPr>
              <w:t>3</w:t>
            </w:r>
          </w:p>
        </w:tc>
        <w:tc>
          <w:tcPr>
            <w:tcW w:type="dxa" w:w="1329"/>
            <w:tcBorders>
              <w:top w:val="none"/>
              <w:bottom w:val="none"/>
              <w:left w:val="none"/>
              <w:right w:val="none"/>
            </w:tcBorders>
          </w:tcPr>
          <w:p>
            <w:r>
              <w:rPr>
                <w:rFonts w:ascii="SimSun" w:hAnsi="SimSun"/>
                <w:sz w:val="19"/>
              </w:rPr>
              <w:t>Huang et al.~[文献]</w:t>
            </w:r>
          </w:p>
        </w:tc>
        <w:tc>
          <w:tcPr>
            <w:tcW w:type="dxa" w:w="1329"/>
            <w:tcBorders>
              <w:top w:val="none"/>
              <w:bottom w:val="none"/>
              <w:left w:val="none"/>
              <w:right w:val="none"/>
            </w:tcBorders>
          </w:tcPr>
          <w:p>
            <w:r>
              <w:rPr>
                <w:rFonts w:ascii="SimSun" w:hAnsi="SimSun"/>
                <w:sz w:val="19"/>
              </w:rPr>
              <w:t>2025 IEEE JSAC</w:t>
            </w:r>
          </w:p>
        </w:tc>
        <w:tc>
          <w:tcPr>
            <w:tcW w:type="dxa" w:w="1329"/>
            <w:tcBorders>
              <w:top w:val="none"/>
              <w:bottom w:val="none"/>
              <w:left w:val="none"/>
              <w:right w:val="none"/>
            </w:tcBorders>
          </w:tcPr>
          <w:p>
            <w:r>
              <w:rPr>
                <w:rFonts w:ascii="SimSun" w:hAnsi="SimSun"/>
                <w:sz w:val="19"/>
              </w:rPr>
              <w:t>离散可微分量化数字调制</w:t>
            </w:r>
          </w:p>
        </w:tc>
        <w:tc>
          <w:tcPr>
            <w:tcW w:type="dxa" w:w="1329"/>
            <w:tcBorders>
              <w:top w:val="none"/>
              <w:bottom w:val="none"/>
              <w:left w:val="none"/>
              <w:right w:val="none"/>
            </w:tcBorders>
          </w:tcPr>
          <w:p>
            <w:r>
              <w:rPr>
                <w:rFonts w:ascii="SimSun" w:hAnsi="SimSun"/>
                <w:sz w:val="19"/>
              </w:rPr>
              <w:t>潜在特征</w:t>
            </w:r>
          </w:p>
        </w:tc>
        <w:tc>
          <w:tcPr>
            <w:tcW w:type="dxa" w:w="1329"/>
            <w:tcBorders>
              <w:top w:val="none"/>
              <w:bottom w:val="none"/>
              <w:left w:val="none"/>
              <w:right w:val="none"/>
            </w:tcBorders>
          </w:tcPr>
          <w:p>
            <w:r>
              <w:rPr>
                <w:rFonts w:ascii="SimSun" w:hAnsi="SimSun"/>
                <w:sz w:val="19"/>
              </w:rPr>
              <w:t>兼容商用 QAM, 时延降低 58</w:t>
            </w:r>
          </w:p>
        </w:tc>
        <w:tc>
          <w:tcPr>
            <w:tcW w:type="dxa" w:w="1329"/>
            <w:tcBorders>
              <w:top w:val="none"/>
              <w:bottom w:val="none"/>
              <w:left w:val="none"/>
              <w:right w:val="none"/>
            </w:tcBorders>
          </w:tcPr>
          <w:p>
            <w:r>
              <w:rPr>
                <w:rFonts w:ascii="SimSun" w:hAnsi="SimSun"/>
                <w:sz w:val="19"/>
              </w:rPr>
            </w:r>
          </w:p>
        </w:tc>
      </w:tr>
      <w:tr>
        <w:tc>
          <w:tcPr>
            <w:tcW w:type="dxa" w:w="1329"/>
            <w:tcBorders>
              <w:top w:val="none"/>
              <w:bottom w:val="none"/>
              <w:left w:val="none"/>
              <w:right w:val="none"/>
            </w:tcBorders>
          </w:tcPr>
          <w:p>
            <w:r>
              <w:rPr>
                <w:rFonts w:ascii="SimSun" w:hAnsi="SimSun"/>
                <w:sz w:val="19"/>
              </w:rPr>
              <w:t>4</w:t>
            </w:r>
          </w:p>
        </w:tc>
        <w:tc>
          <w:tcPr>
            <w:tcW w:type="dxa" w:w="1329"/>
            <w:tcBorders>
              <w:top w:val="none"/>
              <w:bottom w:val="none"/>
              <w:left w:val="none"/>
              <w:right w:val="none"/>
            </w:tcBorders>
          </w:tcPr>
          <w:p>
            <w:r>
              <w:rPr>
                <w:rFonts w:ascii="SimSun" w:hAnsi="SimSun"/>
                <w:sz w:val="19"/>
              </w:rPr>
              <w:t>Lyu et al.~[文献]</w:t>
            </w:r>
          </w:p>
        </w:tc>
        <w:tc>
          <w:tcPr>
            <w:tcW w:type="dxa" w:w="1329"/>
            <w:tcBorders>
              <w:top w:val="none"/>
              <w:bottom w:val="none"/>
              <w:left w:val="none"/>
              <w:right w:val="none"/>
            </w:tcBorders>
          </w:tcPr>
          <w:p>
            <w:r>
              <w:rPr>
                <w:rFonts w:ascii="SimSun" w:hAnsi="SimSun"/>
                <w:sz w:val="19"/>
              </w:rPr>
              <w:t>2024 IEEE TWC</w:t>
            </w:r>
          </w:p>
        </w:tc>
        <w:tc>
          <w:tcPr>
            <w:tcW w:type="dxa" w:w="1329"/>
            <w:tcBorders>
              <w:top w:val="none"/>
              <w:bottom w:val="none"/>
              <w:left w:val="none"/>
              <w:right w:val="none"/>
            </w:tcBorders>
          </w:tcPr>
          <w:p>
            <w:r>
              <w:rPr>
                <w:rFonts w:ascii="SimSun" w:hAnsi="SimSun"/>
                <w:sz w:val="19"/>
              </w:rPr>
              <w:t>任务决策与感知重建解耦</w:t>
            </w:r>
          </w:p>
        </w:tc>
        <w:tc>
          <w:tcPr>
            <w:tcW w:type="dxa" w:w="1329"/>
            <w:tcBorders>
              <w:top w:val="none"/>
              <w:bottom w:val="none"/>
              <w:left w:val="none"/>
              <w:right w:val="none"/>
            </w:tcBorders>
          </w:tcPr>
          <w:p>
            <w:r>
              <w:rPr>
                <w:rFonts w:ascii="SimSun" w:hAnsi="SimSun"/>
                <w:sz w:val="19"/>
              </w:rPr>
              <w:t>智能多任务</w:t>
            </w:r>
          </w:p>
        </w:tc>
        <w:tc>
          <w:tcPr>
            <w:tcW w:type="dxa" w:w="1329"/>
            <w:tcBorders>
              <w:top w:val="none"/>
              <w:bottom w:val="none"/>
              <w:left w:val="none"/>
              <w:right w:val="none"/>
            </w:tcBorders>
          </w:tcPr>
          <w:p>
            <w:r>
              <w:rPr>
                <w:rFonts w:ascii="SimSun" w:hAnsi="SimSun"/>
                <w:sz w:val="19"/>
              </w:rPr>
              <w:t>传输信道带宽开销节省 75</w:t>
            </w:r>
          </w:p>
        </w:tc>
        <w:tc>
          <w:tcPr>
            <w:tcW w:type="dxa" w:w="1329"/>
            <w:tcBorders>
              <w:top w:val="none"/>
              <w:bottom w:val="none"/>
              <w:left w:val="none"/>
              <w:right w:val="none"/>
            </w:tcBorders>
          </w:tcPr>
          <w:p>
            <w:r>
              <w:rPr>
                <w:rFonts w:ascii="SimSun" w:hAnsi="SimSun"/>
                <w:sz w:val="19"/>
              </w:rPr>
            </w:r>
          </w:p>
        </w:tc>
      </w:tr>
      <w:tr>
        <w:tc>
          <w:tcPr>
            <w:tcW w:type="dxa" w:w="1329"/>
            <w:tcBorders>
              <w:top w:val="none"/>
              <w:bottom w:val="none"/>
              <w:left w:val="none"/>
              <w:right w:val="none"/>
            </w:tcBorders>
          </w:tcPr>
          <w:p>
            <w:r>
              <w:rPr>
                <w:rFonts w:ascii="SimSun" w:hAnsi="SimSun"/>
                <w:sz w:val="19"/>
              </w:rPr>
              <w:t>5</w:t>
            </w:r>
          </w:p>
        </w:tc>
        <w:tc>
          <w:tcPr>
            <w:tcW w:type="dxa" w:w="1329"/>
            <w:tcBorders>
              <w:top w:val="none"/>
              <w:bottom w:val="none"/>
              <w:left w:val="none"/>
              <w:right w:val="none"/>
            </w:tcBorders>
          </w:tcPr>
          <w:p>
            <w:r>
              <w:rPr>
                <w:rFonts w:ascii="SimSun" w:hAnsi="SimSun"/>
                <w:sz w:val="19"/>
              </w:rPr>
              <w:t>Wang et al.~[文献]</w:t>
            </w:r>
          </w:p>
        </w:tc>
        <w:tc>
          <w:tcPr>
            <w:tcW w:type="dxa" w:w="1329"/>
            <w:tcBorders>
              <w:top w:val="none"/>
              <w:bottom w:val="none"/>
              <w:left w:val="none"/>
              <w:right w:val="none"/>
            </w:tcBorders>
          </w:tcPr>
          <w:p>
            <w:r>
              <w:rPr>
                <w:rFonts w:ascii="SimSun" w:hAnsi="SimSun"/>
                <w:sz w:val="19"/>
              </w:rPr>
              <w:t>2023 IEEE JSAC</w:t>
            </w:r>
          </w:p>
        </w:tc>
        <w:tc>
          <w:tcPr>
            <w:tcW w:type="dxa" w:w="1329"/>
            <w:tcBorders>
              <w:top w:val="none"/>
              <w:bottom w:val="none"/>
              <w:left w:val="none"/>
              <w:right w:val="none"/>
            </w:tcBorders>
          </w:tcPr>
          <w:p>
            <w:r>
              <w:rPr>
                <w:rFonts w:ascii="SimSun" w:hAnsi="SimSun"/>
                <w:sz w:val="19"/>
              </w:rPr>
              <w:t>时空残差光流递归神经编码</w:t>
            </w:r>
          </w:p>
        </w:tc>
        <w:tc>
          <w:tcPr>
            <w:tcW w:type="dxa" w:w="1329"/>
            <w:tcBorders>
              <w:top w:val="none"/>
              <w:bottom w:val="none"/>
              <w:left w:val="none"/>
              <w:right w:val="none"/>
            </w:tcBorders>
          </w:tcPr>
          <w:p>
            <w:r>
              <w:rPr>
                <w:rFonts w:ascii="SimSun" w:hAnsi="SimSun"/>
                <w:sz w:val="19"/>
              </w:rPr>
              <w:t>连续视频流</w:t>
            </w:r>
          </w:p>
        </w:tc>
        <w:tc>
          <w:tcPr>
            <w:tcW w:type="dxa" w:w="1329"/>
            <w:tcBorders>
              <w:top w:val="none"/>
              <w:bottom w:val="none"/>
              <w:left w:val="none"/>
              <w:right w:val="none"/>
            </w:tcBorders>
          </w:tcPr>
          <w:p>
            <w:r>
              <w:rPr>
                <w:rFonts w:ascii="SimSun" w:hAnsi="SimSun"/>
                <w:sz w:val="19"/>
              </w:rPr>
              <w:t>码率节省 42</w:t>
            </w:r>
          </w:p>
        </w:tc>
        <w:tc>
          <w:tcPr>
            <w:tcW w:type="dxa" w:w="1329"/>
            <w:tcBorders>
              <w:top w:val="none"/>
              <w:bottom w:val="none"/>
              <w:left w:val="none"/>
              <w:right w:val="none"/>
            </w:tcBorders>
          </w:tcPr>
          <w:p>
            <w:r>
              <w:rPr>
                <w:rFonts w:ascii="SimSun" w:hAnsi="SimSun"/>
                <w:sz w:val="19"/>
              </w:rPr>
            </w:r>
          </w:p>
        </w:tc>
      </w:tr>
      <w:tr>
        <w:tc>
          <w:tcPr>
            <w:tcW w:type="dxa" w:w="1329"/>
            <w:tcBorders>
              <w:top w:val="none"/>
              <w:bottom w:val="single" w:sz="12" w:space="0" w:color="000000"/>
              <w:left w:val="none"/>
              <w:right w:val="none"/>
            </w:tcBorders>
          </w:tcPr>
          <w:p>
            <w:r>
              <w:rPr>
                <w:rFonts w:ascii="SimSun" w:hAnsi="SimSun"/>
                <w:sz w:val="19"/>
              </w:rPr>
              <w:t>6</w:t>
            </w:r>
          </w:p>
        </w:tc>
        <w:tc>
          <w:tcPr>
            <w:tcW w:type="dxa" w:w="1329"/>
            <w:tcBorders>
              <w:top w:val="none"/>
              <w:bottom w:val="single" w:sz="12" w:space="0" w:color="000000"/>
              <w:left w:val="none"/>
              <w:right w:val="none"/>
            </w:tcBorders>
          </w:tcPr>
          <w:p>
            <w:r>
              <w:rPr>
                <w:rFonts w:ascii="SimSun" w:hAnsi="SimSun"/>
                <w:sz w:val="19"/>
              </w:rPr>
              <w:t>Nguyen et al.~[文献]</w:t>
            </w:r>
          </w:p>
        </w:tc>
        <w:tc>
          <w:tcPr>
            <w:tcW w:type="dxa" w:w="1329"/>
            <w:tcBorders>
              <w:top w:val="none"/>
              <w:bottom w:val="single" w:sz="12" w:space="0" w:color="000000"/>
              <w:left w:val="none"/>
              <w:right w:val="none"/>
            </w:tcBorders>
          </w:tcPr>
          <w:p>
            <w:r>
              <w:rPr>
                <w:rFonts w:ascii="SimSun" w:hAnsi="SimSun"/>
                <w:sz w:val="19"/>
              </w:rPr>
              <w:t>2026 IEEE COMST</w:t>
            </w:r>
          </w:p>
        </w:tc>
        <w:tc>
          <w:tcPr>
            <w:tcW w:type="dxa" w:w="1329"/>
            <w:tcBorders>
              <w:top w:val="none"/>
              <w:bottom w:val="single" w:sz="12" w:space="0" w:color="000000"/>
              <w:left w:val="none"/>
              <w:right w:val="none"/>
            </w:tcBorders>
          </w:tcPr>
          <w:p>
            <w:r>
              <w:rPr>
                <w:rFonts w:ascii="SimSun" w:hAnsi="SimSun"/>
                <w:sz w:val="19"/>
              </w:rPr>
              <w:t>四维 RDPC 统一理论框架</w:t>
            </w:r>
          </w:p>
        </w:tc>
        <w:tc>
          <w:tcPr>
            <w:tcW w:type="dxa" w:w="1329"/>
            <w:tcBorders>
              <w:top w:val="none"/>
              <w:bottom w:val="single" w:sz="12" w:space="0" w:color="000000"/>
              <w:left w:val="none"/>
              <w:right w:val="none"/>
            </w:tcBorders>
          </w:tcPr>
          <w:p>
            <w:r>
              <w:rPr>
                <w:rFonts w:ascii="SimSun" w:hAnsi="SimSun"/>
                <w:sz w:val="19"/>
              </w:rPr>
              <w:t>全模态综述</w:t>
            </w:r>
          </w:p>
        </w:tc>
        <w:tc>
          <w:tcPr>
            <w:tcW w:type="dxa" w:w="1329"/>
            <w:tcBorders>
              <w:top w:val="none"/>
              <w:bottom w:val="single" w:sz="12" w:space="0" w:color="000000"/>
              <w:left w:val="none"/>
              <w:right w:val="none"/>
            </w:tcBorders>
          </w:tcPr>
          <w:p>
            <w:r>
              <w:rPr>
                <w:rFonts w:ascii="SimSun" w:hAnsi="SimSun"/>
                <w:sz w:val="19"/>
              </w:rPr>
              <w:t>梳理语义容量理论边界空白</w:t>
            </w:r>
          </w:p>
        </w:tc>
        <w:tc>
          <w:tcPr>
            <w:tcW w:type="dxa" w:w="1329"/>
            <w:tcBorders>
              <w:top w:val="none"/>
              <w:bottom w:val="single" w:sz="12" w:space="0" w:color="000000"/>
              <w:left w:val="none"/>
              <w:right w:val="none"/>
            </w:tcBorders>
          </w:tcPr>
          <w:p>
            <w:r>
              <w:rPr>
                <w:rFonts w:ascii="SimSun" w:hAnsi="SimSun"/>
                <w:sz w:val="19"/>
              </w:rPr>
              <w:t>理论指导</w:t>
            </w:r>
          </w:p>
        </w:tc>
      </w:tr>
    </w:tbl>
    <w:p/>
    <w:p>
      <w:pPr>
        <w:spacing w:line="324" w:lineRule="auto" w:after="80"/>
        <w:ind w:firstLine="403"/>
      </w:pPr>
      <w:r>
        <w:rPr>
          <w:rFonts w:ascii="SimSun" w:hAnsi="SimSun" w:eastAsia="SimSun"/>
          <w:sz w:val="24"/>
        </w:rPr>
        <w:t>\noindent\footnotesize{</w:t>
      </w:r>
    </w:p>
    <w:p>
      <w:pPr>
        <w:keepNext/>
        <w:spacing w:before="240" w:after="120"/>
      </w:pPr>
      <w:r>
        <w:rPr>
          <w:rFonts w:ascii="SimHei" w:hAnsi="SimHei" w:eastAsia="SimHei"/>
          <w:b/>
          <w:sz w:val="28"/>
        </w:rPr>
        <w:t>当前学术界悬而未决的深层技术死结</w:t>
      </w:r>
    </w:p>
    <w:p>
      <w:pPr>
        <w:spacing w:line="324" w:lineRule="auto" w:after="80"/>
        <w:ind w:firstLine="403"/>
      </w:pPr>
      <w:r>
        <w:rPr>
          <w:rFonts w:ascii="SimSun" w:hAnsi="SimSun" w:eastAsia="SimSun"/>
          <w:sz w:val="24"/>
        </w:rPr>
        <w:t>尽管上述文献在实验室理想平稳信道下取得了令人瞩目的性能提升，但深入审视其物理机理，仍存在三大制约其走向实际工程应用的致命瓶颈：</w:t>
      </w:r>
    </w:p>
    <w:p>
      <w:pPr>
        <w:spacing w:line="324" w:lineRule="auto" w:after="80"/>
        <w:ind w:firstLine="403"/>
      </w:pPr>
      <w:r>
        <w:rPr>
          <w:rFonts w:ascii="SimSun" w:hAnsi="SimSun" w:eastAsia="SimSun"/>
          <w:sz w:val="24"/>
        </w:rPr>
        <w:t>现有网络通常在固定的特定信噪比（如 10dB）下离线收敛。然而在车载高速移动（时速 120km/h 以上）场景中，剧烈的多普勒频移导致多径信道快速时变，信噪比可能在数毫秒内跳变达 15dB 以上。固定参数神经网络在信噪比突发跳变时表现出灾难性的性能坍塌；</w:t>
      </w:r>
    </w:p>
    <w:p>
      <w:pPr>
        <w:spacing w:line="324" w:lineRule="auto" w:after="80"/>
        <w:ind w:firstLine="403"/>
      </w:pPr>
      <w:r>
        <w:rPr>
          <w:rFonts w:ascii="SimSun" w:hAnsi="SimSun" w:eastAsia="SimSun"/>
          <w:sz w:val="24"/>
        </w:rPr>
        <w:t>目前绝大多数顶刊提出的非线性深度网络单帧编解码耗时在数十毫秒级别，完全无法满足 6G 超可靠低时延通信（URLLC）中对空口单向传输时延低于 1ms 的严苛物理定律约束；</w:t>
      </w:r>
    </w:p>
    <w:p>
      <w:pPr>
        <w:spacing w:line="324" w:lineRule="auto" w:after="80"/>
        <w:ind w:firstLine="403"/>
      </w:pPr>
      <w:r>
        <w:rPr>
          <w:rFonts w:ascii="SimSun" w:hAnsi="SimSun" w:eastAsia="SimSun"/>
          <w:sz w:val="24"/>
        </w:rPr>
        <w:t>绝大多数工作均停留在实证驱动，缺乏对非线性连续映射下语义信道容量上界的严格数学解析闭式解。</w:t>
      </w:r>
    </w:p>
    <w:p>
      <w:pPr>
        <w:spacing w:line="324" w:lineRule="auto" w:after="80"/>
        <w:ind w:firstLine="403"/>
      </w:pPr>
      <w:r>
        <w:rPr>
          <w:rFonts w:ascii="SimSun" w:hAnsi="SimSun" w:eastAsia="SimSun"/>
          <w:sz w:val="24"/>
        </w:rPr>
        <w:t>上述深层矛盾，正是本论文立项开展“面向高速时变信道的轻量化自适应 Deep JSCC”研究的根本学术依据。</w:t>
      </w:r>
    </w:p>
    <w:p>
      <w:pPr>
        <w:keepNext/>
        <w:pageBreakBefore/>
        <w:spacing w:before="240" w:after="120"/>
        <w:jc w:val="center"/>
      </w:pPr>
      <w:r>
        <w:rPr>
          <w:rFonts w:ascii="SimHei" w:hAnsi="SimHei" w:eastAsia="SimHei"/>
          <w:b/>
          <w:sz w:val="32"/>
        </w:rPr>
        <w:t>面向高速时变信道的自适应联合信源信道编码机制</w:t>
      </w:r>
    </w:p>
    <w:p>
      <w:pPr>
        <w:spacing w:line="324" w:lineRule="auto" w:after="80"/>
        <w:ind w:firstLine="403"/>
      </w:pPr>
      <w:r>
        <w:rPr>
          <w:rFonts w:ascii="SimSun" w:hAnsi="SimSun" w:eastAsia="SimSun"/>
          <w:sz w:val="24"/>
        </w:rPr>
        <w:t>针对第二章所揭示的在 6G 高速时变车联网信道下传统 Deep JSCC 系统存在的“信噪比突发跳变失配”、“千亿级 FLOPs 计算复杂度”以及“无法兼容商用离散数字射频基带”三大核心学术与产业痛点，本章系统性构建了一套轻量化自适应信源信道联合编码机制。</w:t>
      </w:r>
    </w:p>
    <w:p>
      <w:pPr>
        <w:spacing w:line="324" w:lineRule="auto" w:after="80"/>
        <w:ind w:firstLine="403"/>
      </w:pPr>
      <w:r>
        <w:rPr>
          <w:rFonts w:ascii="SimSun" w:hAnsi="SimSun" w:eastAsia="SimSun"/>
          <w:sz w:val="24"/>
        </w:rPr>
        <w:t>本章首先建立严谨的 3GPP TDL-D 多径多普勒时变物理层传输模型与功率约束；接着详细阐述信噪比驱动的微秒级动态神经门控特征剪枝子网络（DCGU）及其梯度阻断平滑机制；随后给出面向商用标准 QAM 星座图的端到端离散可微分量化（DDQ）收发机架构；最后推导多目标联合损失函数，并在非凸随机信道干扰条件下严格推导并证明了模型参数渐进收敛至一阶驻点的一致性定理。</w:t>
      </w:r>
    </w:p>
    <w:p>
      <w:pPr>
        <w:keepNext/>
        <w:spacing w:before="240" w:after="120"/>
      </w:pPr>
      <w:r>
        <w:rPr>
          <w:rFonts w:ascii="SimHei" w:hAnsi="SimHei" w:eastAsia="SimHei"/>
          <w:b/>
          <w:sz w:val="28"/>
        </w:rPr>
        <w:t>本章小结</w:t>
      </w:r>
    </w:p>
    <w:p>
      <w:pPr>
        <w:spacing w:line="324" w:lineRule="auto" w:after="80"/>
        <w:ind w:firstLine="403"/>
      </w:pPr>
      <w:r>
        <w:rPr>
          <w:rFonts w:ascii="SimSun" w:hAnsi="SimSun" w:eastAsia="SimSun"/>
          <w:sz w:val="24"/>
        </w:rPr>
        <w:t>本章完成了面向高速时变无线信道的轻量化自适应 Deep JSCC 理论体系建模：</w:t>
      </w:r>
    </w:p>
    <w:p>
      <w:pPr>
        <w:spacing w:line="324" w:lineRule="auto" w:after="80"/>
        <w:ind w:firstLine="403"/>
      </w:pPr>
      <w:r>
        <w:rPr>
          <w:rFonts w:ascii="SimSun" w:hAnsi="SimSun" w:eastAsia="SimSun"/>
          <w:sz w:val="24"/>
        </w:rPr>
        <w:t>本章所建立的理论框架与自适应网络机制，为第四章系统级仿真评测与消融实验提供了坚实的方法论支撑。</w:t>
      </w:r>
    </w:p>
    <w:p>
      <w:pPr>
        <w:keepNext/>
        <w:pageBreakBefore/>
        <w:spacing w:before="240" w:after="120"/>
        <w:jc w:val="center"/>
      </w:pPr>
      <w:r>
        <w:rPr>
          <w:rFonts w:ascii="SimHei" w:hAnsi="SimHei" w:eastAsia="SimHei"/>
          <w:b/>
          <w:sz w:val="32"/>
        </w:rPr>
        <w:t>实验设置、结果分析与消融验证</w:t>
      </w:r>
    </w:p>
    <w:p>
      <w:pPr>
        <w:spacing w:line="324" w:lineRule="auto" w:after="80"/>
        <w:ind w:firstLine="403"/>
      </w:pPr>
      <w:r>
        <w:rPr>
          <w:rFonts w:ascii="SimSun" w:hAnsi="SimSun" w:eastAsia="SimSun"/>
          <w:sz w:val="24"/>
        </w:rPr>
        <w:t>本章对第三章所提轻量化自适应 Deep JSCC 系统开展系统的端到端仿真与量化评测。实验严格采用 3GPP 国际标准化组织定义的 5G NR 高速移动多径信道模型，在宽信噪比范围与高多普勒频移恶劣工况下，将本文方法与当前国际顶刊 SOTA 方案以及传统经典通信分立体制展开多维度定量对照与消融分析。</w:t>
      </w:r>
    </w:p>
    <w:p>
      <w:pPr>
        <w:keepNext/>
        <w:spacing w:before="240" w:after="120"/>
      </w:pPr>
      <w:r>
        <w:rPr>
          <w:rFonts w:ascii="SimHei" w:hAnsi="SimHei" w:eastAsia="SimHei"/>
          <w:b/>
          <w:sz w:val="28"/>
        </w:rPr>
        <w:t>实验环境与评测基准配置</w:t>
      </w:r>
    </w:p>
    <w:p>
      <w:pPr>
        <w:keepNext/>
        <w:spacing w:before="240" w:after="120"/>
      </w:pPr>
      <w:r>
        <w:rPr>
          <w:rFonts w:ascii="SimHei" w:hAnsi="SimHei" w:eastAsia="SimHei"/>
          <w:b/>
          <w:sz w:val="26"/>
        </w:rPr>
        <w:t>数据集选择与无线信道环境建模</w:t>
      </w:r>
    </w:p>
    <w:p>
      <w:pPr>
        <w:spacing w:line="324" w:lineRule="auto" w:after="80"/>
        <w:ind w:firstLine="403"/>
      </w:pPr>
      <w:r>
        <w:rPr>
          <w:rFonts w:ascii="SimSun" w:hAnsi="SimSun" w:eastAsia="SimSun"/>
          <w:sz w:val="24"/>
        </w:rPr>
        <w:t>实验选取国际通用标准化图像与多媒体测试基准：</w:t>
      </w:r>
    </w:p>
    <w:p>
      <w:pPr>
        <w:spacing w:line="324" w:lineRule="auto" w:after="80"/>
        <w:ind w:firstLine="403"/>
      </w:pPr>
      <w:r>
        <w:rPr>
          <w:rFonts w:ascii="SimSun" w:hAnsi="SimSun" w:eastAsia="SimSun"/>
          <w:sz w:val="24"/>
        </w:rPr>
        <w:t>无线信道仿真严格对齐 3GPP TR 38.901 标准规范中的 TDL-D（Tapped Delay Line-D） 高速公路车联网多径信道模型：</w:t>
      </w:r>
    </w:p>
    <w:p>
      <w:pPr>
        <w:keepNext/>
        <w:spacing w:before="240" w:after="120"/>
      </w:pPr>
      <w:r>
        <w:rPr>
          <w:rFonts w:ascii="SimHei" w:hAnsi="SimHei" w:eastAsia="SimHei"/>
          <w:b/>
          <w:sz w:val="26"/>
        </w:rPr>
        <w:t>对比基线系统设置</w:t>
      </w:r>
    </w:p>
    <w:p>
      <w:pPr>
        <w:spacing w:line="324" w:lineRule="auto" w:after="80"/>
        <w:ind w:firstLine="403"/>
      </w:pPr>
      <w:r>
        <w:rPr>
          <w:rFonts w:ascii="SimSun" w:hAnsi="SimSun" w:eastAsia="SimSun"/>
          <w:sz w:val="24"/>
        </w:rPr>
        <w:t>对比算法涵盖经典工程方案与近年来国际 IEEE 顶刊提出的前沿代表性工作：</w:t>
      </w:r>
    </w:p>
    <w:p>
      <w:pPr>
        <w:keepNext/>
        <w:spacing w:before="240" w:after="120"/>
      </w:pPr>
      <w:r>
        <w:rPr>
          <w:rFonts w:ascii="SimHei" w:hAnsi="SimHei" w:eastAsia="SimHei"/>
          <w:b/>
          <w:sz w:val="28"/>
        </w:rPr>
        <w:t>主实验定量对比与结果分析</w:t>
      </w:r>
    </w:p>
    <w:tbl>
      <w:tblPr>
        <w:tblW w:type="auto" w:w="0"/>
        <w:jc w:val="center"/>
        <w:tblLook w:firstColumn="1" w:firstRow="1" w:lastColumn="0" w:lastRow="0" w:noHBand="0" w:noVBand="1" w:val="04A0"/>
      </w:tblPr>
      <w:tblGrid>
        <w:gridCol w:w="1550"/>
        <w:gridCol w:w="1550"/>
        <w:gridCol w:w="1550"/>
        <w:gridCol w:w="1550"/>
        <w:gridCol w:w="1550"/>
        <w:gridCol w:w="1550"/>
      </w:tblGrid>
      <w:tr>
        <w:tc>
          <w:tcPr>
            <w:tcW w:type="dxa" w:w="1550"/>
            <w:tcBorders>
              <w:top w:val="single" w:sz="12" w:space="0" w:color="000000"/>
              <w:bottom w:val="single" w:sz="12" w:space="0" w:color="000000"/>
              <w:left w:val="none"/>
              <w:right w:val="none"/>
            </w:tcBorders>
          </w:tcPr>
          <w:p>
            <w:r>
              <w:rPr>
                <w:rFonts w:ascii="SimSun" w:hAnsi="SimSun"/>
                <w:sz w:val="19"/>
              </w:rPr>
              <w:t>通信方案</w:t>
            </w:r>
          </w:p>
        </w:tc>
        <w:tc>
          <w:tcPr>
            <w:tcW w:type="dxa" w:w="1550"/>
            <w:tcBorders>
              <w:top w:val="single" w:sz="12" w:space="0" w:color="000000"/>
              <w:bottom w:val="single" w:sz="12" w:space="0" w:color="000000"/>
              <w:left w:val="none"/>
              <w:right w:val="none"/>
            </w:tcBorders>
          </w:tcPr>
          <w:p>
            <w:r>
              <w:rPr>
                <w:rFonts w:ascii="SimSun" w:hAnsi="SimSun"/>
                <w:sz w:val="19"/>
              </w:rPr>
              <w:t>低SNR PSNR (0dB)</w:t>
            </w:r>
          </w:p>
        </w:tc>
        <w:tc>
          <w:tcPr>
            <w:tcW w:type="dxa" w:w="1550"/>
            <w:tcBorders>
              <w:top w:val="single" w:sz="12" w:space="0" w:color="000000"/>
              <w:bottom w:val="single" w:sz="12" w:space="0" w:color="000000"/>
              <w:left w:val="none"/>
              <w:right w:val="none"/>
            </w:tcBorders>
          </w:tcPr>
          <w:p>
            <w:r>
              <w:rPr>
                <w:rFonts w:ascii="SimSun" w:hAnsi="SimSun"/>
                <w:sz w:val="19"/>
              </w:rPr>
              <w:t>高SNR PSNR (15dB)</w:t>
            </w:r>
          </w:p>
        </w:tc>
        <w:tc>
          <w:tcPr>
            <w:tcW w:type="dxa" w:w="1550"/>
            <w:tcBorders>
              <w:top w:val="single" w:sz="12" w:space="0" w:color="000000"/>
              <w:bottom w:val="single" w:sz="12" w:space="0" w:color="000000"/>
              <w:left w:val="none"/>
              <w:right w:val="none"/>
            </w:tcBorders>
          </w:tcPr>
          <w:p>
            <w:r>
              <w:rPr>
                <w:rFonts w:ascii="SimSun" w:hAnsi="SimSun"/>
                <w:sz w:val="19"/>
              </w:rPr>
              <w:t>悬崖效应</w:t>
            </w:r>
          </w:p>
        </w:tc>
        <w:tc>
          <w:tcPr>
            <w:tcW w:type="dxa" w:w="1550"/>
            <w:tcBorders>
              <w:top w:val="single" w:sz="12" w:space="0" w:color="000000"/>
              <w:bottom w:val="single" w:sz="12" w:space="0" w:color="000000"/>
              <w:left w:val="none"/>
              <w:right w:val="none"/>
            </w:tcBorders>
          </w:tcPr>
          <w:p>
            <w:r>
              <w:rPr>
                <w:rFonts w:ascii="SimSun" w:hAnsi="SimSun"/>
                <w:sz w:val="19"/>
              </w:rPr>
              <w:t>端到端时延 (ms)</w:t>
            </w:r>
          </w:p>
        </w:tc>
        <w:tc>
          <w:tcPr>
            <w:tcW w:type="dxa" w:w="1550"/>
            <w:tcBorders>
              <w:top w:val="single" w:sz="12" w:space="0" w:color="000000"/>
              <w:bottom w:val="single" w:sz="12" w:space="0" w:color="000000"/>
              <w:left w:val="none"/>
              <w:right w:val="none"/>
            </w:tcBorders>
          </w:tcPr>
          <w:p>
            <w:r>
              <w:rPr>
                <w:rFonts w:ascii="SimSun" w:hAnsi="SimSun"/>
                <w:sz w:val="19"/>
              </w:rPr>
              <w:t>硬件兼容性</w:t>
            </w:r>
          </w:p>
        </w:tc>
      </w:tr>
      <w:tr>
        <w:tc>
          <w:tcPr>
            <w:tcW w:type="dxa" w:w="1550"/>
            <w:tcBorders>
              <w:top w:val="none"/>
              <w:bottom w:val="none"/>
              <w:left w:val="none"/>
              <w:right w:val="none"/>
            </w:tcBorders>
          </w:tcPr>
          <w:p>
            <w:r>
              <w:rPr>
                <w:rFonts w:ascii="SimSun" w:hAnsi="SimSun"/>
                <w:sz w:val="19"/>
              </w:rPr>
              <w:t>传统 5G (BPG+LDPC)</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存在</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完全兼容</w:t>
            </w:r>
          </w:p>
        </w:tc>
      </w:tr>
      <w:tr>
        <w:tc>
          <w:tcPr>
            <w:tcW w:type="dxa" w:w="1550"/>
            <w:tcBorders>
              <w:top w:val="none"/>
              <w:bottom w:val="none"/>
              <w:left w:val="none"/>
              <w:right w:val="none"/>
            </w:tcBorders>
          </w:tcPr>
          <w:p>
            <w:r>
              <w:rPr>
                <w:rFonts w:ascii="SimSun" w:hAnsi="SimSun"/>
                <w:sz w:val="19"/>
              </w:rPr>
              <w:t>NTSCC (JSAC 2022)</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无 (平滑)</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不兼容 (纯模拟)</w:t>
            </w:r>
          </w:p>
        </w:tc>
      </w:tr>
      <w:tr>
        <w:tc>
          <w:tcPr>
            <w:tcW w:type="dxa" w:w="1550"/>
            <w:tcBorders>
              <w:top w:val="none"/>
              <w:bottom w:val="none"/>
              <w:left w:val="none"/>
              <w:right w:val="none"/>
            </w:tcBorders>
          </w:tcPr>
          <w:p>
            <w:r>
              <w:rPr>
                <w:rFonts w:ascii="SimSun" w:hAnsi="SimSun"/>
                <w:sz w:val="19"/>
              </w:rPr>
              <w:t>D²-JSCC (JSAC 2025)</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轻微</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兼容数字基带</w:t>
            </w:r>
          </w:p>
        </w:tc>
      </w:tr>
      <w:tr>
        <w:tc>
          <w:tcPr>
            <w:tcW w:type="dxa" w:w="1550"/>
            <w:tcBorders>
              <w:top w:val="none"/>
              <w:bottom w:val="single" w:sz="12" w:space="0" w:color="000000"/>
              <w:left w:val="none"/>
              <w:right w:val="none"/>
            </w:tcBorders>
          </w:tcPr>
          <w:p>
            <w:r>
              <w:rPr>
                <w:rFonts w:ascii="SimSun" w:hAnsi="SimSun"/>
                <w:sz w:val="19"/>
              </w:rPr>
              <w:t>本文方法 (Ours)</w:t>
            </w:r>
          </w:p>
        </w:tc>
        <w:tc>
          <w:tcPr>
            <w:tcW w:type="dxa" w:w="1550"/>
            <w:tcBorders>
              <w:top w:val="none"/>
              <w:bottom w:val="single" w:sz="12" w:space="0" w:color="000000"/>
              <w:left w:val="none"/>
              <w:right w:val="none"/>
            </w:tcBorders>
          </w:tcPr>
          <w:p>
            <w:r>
              <w:rPr>
                <w:rFonts w:ascii="SimSun" w:hAnsi="SimSun"/>
                <w:sz w:val="19"/>
              </w:rPr>
              <w:t>\TODO{待填}</w:t>
            </w:r>
          </w:p>
        </w:tc>
        <w:tc>
          <w:tcPr>
            <w:tcW w:type="dxa" w:w="1550"/>
            <w:tcBorders>
              <w:top w:val="none"/>
              <w:bottom w:val="single" w:sz="12" w:space="0" w:color="000000"/>
              <w:left w:val="none"/>
              <w:right w:val="none"/>
            </w:tcBorders>
          </w:tcPr>
          <w:p>
            <w:r>
              <w:rPr>
                <w:rFonts w:ascii="SimSun" w:hAnsi="SimSun"/>
                <w:sz w:val="19"/>
              </w:rPr>
              <w:t>\TODO{待填}</w:t>
            </w:r>
          </w:p>
        </w:tc>
        <w:tc>
          <w:tcPr>
            <w:tcW w:type="dxa" w:w="1550"/>
            <w:tcBorders>
              <w:top w:val="none"/>
              <w:bottom w:val="single" w:sz="12" w:space="0" w:color="000000"/>
              <w:left w:val="none"/>
              <w:right w:val="none"/>
            </w:tcBorders>
          </w:tcPr>
          <w:p>
            <w:r>
              <w:rPr>
                <w:rFonts w:ascii="SimSun" w:hAnsi="SimSun"/>
                <w:sz w:val="19"/>
              </w:rPr>
              <w:t>消除</w:t>
            </w:r>
          </w:p>
        </w:tc>
        <w:tc>
          <w:tcPr>
            <w:tcW w:type="dxa" w:w="1550"/>
            <w:tcBorders>
              <w:top w:val="none"/>
              <w:bottom w:val="single" w:sz="12" w:space="0" w:color="000000"/>
              <w:left w:val="none"/>
              <w:right w:val="none"/>
            </w:tcBorders>
          </w:tcPr>
          <w:p>
            <w:r>
              <w:rPr>
                <w:rFonts w:ascii="SimSun" w:hAnsi="SimSun"/>
                <w:sz w:val="19"/>
              </w:rPr>
              <w:t>\TODO{待填}</w:t>
            </w:r>
          </w:p>
        </w:tc>
        <w:tc>
          <w:tcPr>
            <w:tcW w:type="dxa" w:w="1550"/>
            <w:tcBorders>
              <w:top w:val="none"/>
              <w:bottom w:val="single" w:sz="12" w:space="0" w:color="000000"/>
              <w:left w:val="none"/>
              <w:right w:val="none"/>
            </w:tcBorders>
          </w:tcPr>
          <w:p>
            <w:r>
              <w:rPr>
                <w:rFonts w:ascii="SimSun" w:hAnsi="SimSun"/>
                <w:sz w:val="19"/>
              </w:rPr>
              <w:t>兼容商用数字基带</w:t>
            </w:r>
          </w:p>
        </w:tc>
      </w:tr>
    </w:tbl>
    <w:p/>
    <w:p>
      <w:pPr>
        <w:spacing w:line="324" w:lineRule="auto" w:after="80"/>
        <w:ind w:firstLine="403"/>
      </w:pPr>
      <w:r>
        <w:rPr>
          <w:rFonts w:ascii="SimSun" w:hAnsi="SimSun" w:eastAsia="SimSun"/>
          <w:sz w:val="24"/>
        </w:rPr>
        <w:t>\noindent\footnotesize{</w:t>
      </w:r>
    </w:p>
    <w:p>
      <w:pPr>
        <w:keepNext/>
        <w:spacing w:before="240" w:after="120"/>
      </w:pPr>
      <w:r>
        <w:rPr>
          <w:rFonts w:ascii="SimHei" w:hAnsi="SimHei" w:eastAsia="SimHei"/>
          <w:b/>
          <w:sz w:val="28"/>
        </w:rPr>
        <w:t>核心机制消融实验 (Ablation Study)</w:t>
      </w:r>
    </w:p>
    <w:p>
      <w:pPr>
        <w:spacing w:line="324" w:lineRule="auto" w:after="80"/>
        <w:ind w:firstLine="403"/>
      </w:pPr>
      <w:r>
        <w:rPr>
          <w:rFonts w:ascii="SimSun" w:hAnsi="SimSun" w:eastAsia="SimSun"/>
          <w:sz w:val="24"/>
        </w:rPr>
        <w:t>为严格验证本文所提出的两大核心机制（动态通道门控 DCGU、可微数字量化层）的独立有效性，在相同硬件实验平台上系统设计了四组逐级消融配置，结果如表~[图表] 所示。</w:t>
      </w:r>
    </w:p>
    <w:tbl>
      <w:tblPr>
        <w:tblW w:type="auto" w:w="0"/>
        <w:jc w:val="center"/>
        <w:tblLook w:firstColumn="1" w:firstRow="1" w:lastColumn="0" w:lastRow="0" w:noHBand="0" w:noVBand="1" w:val="04A0"/>
      </w:tblPr>
      <w:tblGrid>
        <w:gridCol w:w="1550"/>
        <w:gridCol w:w="1550"/>
        <w:gridCol w:w="1550"/>
        <w:gridCol w:w="1550"/>
        <w:gridCol w:w="1550"/>
        <w:gridCol w:w="1550"/>
      </w:tblGrid>
      <w:tr>
        <w:tc>
          <w:tcPr>
            <w:tcW w:type="dxa" w:w="1550"/>
            <w:tcBorders>
              <w:top w:val="single" w:sz="12" w:space="0" w:color="000000"/>
              <w:bottom w:val="single" w:sz="12" w:space="0" w:color="000000"/>
              <w:left w:val="none"/>
              <w:right w:val="none"/>
            </w:tcBorders>
          </w:tcPr>
          <w:p>
            <w:r>
              <w:rPr>
                <w:rFonts w:ascii="SimSun" w:hAnsi="SimSun"/>
                <w:sz w:val="19"/>
              </w:rPr>
              <w:t>网络变体配置</w:t>
            </w:r>
          </w:p>
        </w:tc>
        <w:tc>
          <w:tcPr>
            <w:tcW w:type="dxa" w:w="1550"/>
            <w:tcBorders>
              <w:top w:val="single" w:sz="12" w:space="0" w:color="000000"/>
              <w:bottom w:val="single" w:sz="12" w:space="0" w:color="000000"/>
              <w:left w:val="none"/>
              <w:right w:val="none"/>
            </w:tcBorders>
          </w:tcPr>
          <w:p>
            <w:r>
              <w:rPr>
                <w:rFonts w:ascii="SimSun" w:hAnsi="SimSun"/>
                <w:sz w:val="19"/>
              </w:rPr>
              <w:t>动态门控 DCGU</w:t>
            </w:r>
          </w:p>
        </w:tc>
        <w:tc>
          <w:tcPr>
            <w:tcW w:type="dxa" w:w="1550"/>
            <w:tcBorders>
              <w:top w:val="single" w:sz="12" w:space="0" w:color="000000"/>
              <w:bottom w:val="single" w:sz="12" w:space="0" w:color="000000"/>
              <w:left w:val="none"/>
              <w:right w:val="none"/>
            </w:tcBorders>
          </w:tcPr>
          <w:p>
            <w:r>
              <w:rPr>
                <w:rFonts w:ascii="SimSun" w:hAnsi="SimSun"/>
                <w:sz w:val="19"/>
              </w:rPr>
              <w:t>可微分数字量化</w:t>
            </w:r>
          </w:p>
        </w:tc>
        <w:tc>
          <w:tcPr>
            <w:tcW w:type="dxa" w:w="1550"/>
            <w:tcBorders>
              <w:top w:val="single" w:sz="12" w:space="0" w:color="000000"/>
              <w:bottom w:val="single" w:sz="12" w:space="0" w:color="000000"/>
              <w:left w:val="none"/>
              <w:right w:val="none"/>
            </w:tcBorders>
          </w:tcPr>
          <w:p>
            <w:r>
              <w:rPr>
                <w:rFonts w:ascii="SimSun" w:hAnsi="SimSun"/>
                <w:sz w:val="19"/>
              </w:rPr>
              <w:t>信噪比自适应</w:t>
            </w:r>
          </w:p>
        </w:tc>
        <w:tc>
          <w:tcPr>
            <w:tcW w:type="dxa" w:w="1550"/>
            <w:tcBorders>
              <w:top w:val="single" w:sz="12" w:space="0" w:color="000000"/>
              <w:bottom w:val="single" w:sz="12" w:space="0" w:color="000000"/>
              <w:left w:val="none"/>
              <w:right w:val="none"/>
            </w:tcBorders>
          </w:tcPr>
          <w:p>
            <w:r>
              <w:rPr>
                <w:rFonts w:ascii="SimSun" w:hAnsi="SimSun"/>
                <w:sz w:val="19"/>
              </w:rPr>
              <w:t>平均 PSNR (dB)</w:t>
            </w:r>
          </w:p>
        </w:tc>
        <w:tc>
          <w:tcPr>
            <w:tcW w:type="dxa" w:w="1550"/>
            <w:tcBorders>
              <w:top w:val="single" w:sz="12" w:space="0" w:color="000000"/>
              <w:bottom w:val="single" w:sz="12" w:space="0" w:color="000000"/>
              <w:left w:val="none"/>
              <w:right w:val="none"/>
            </w:tcBorders>
          </w:tcPr>
          <w:p>
            <w:r>
              <w:rPr>
                <w:rFonts w:ascii="SimSun" w:hAnsi="SimSun"/>
                <w:sz w:val="19"/>
              </w:rPr>
              <w:t>显存开销 (MB)</w:t>
            </w:r>
          </w:p>
        </w:tc>
      </w:tr>
      <w:tr>
        <w:tc>
          <w:tcPr>
            <w:tcW w:type="dxa" w:w="1550"/>
            <w:tcBorders>
              <w:top w:val="none"/>
              <w:bottom w:val="none"/>
              <w:left w:val="none"/>
              <w:right w:val="none"/>
            </w:tcBorders>
          </w:tcPr>
          <w:p>
            <w:r>
              <w:rPr>
                <w:rFonts w:ascii="SimSun" w:hAnsi="SimSun"/>
                <w:sz w:val="19"/>
              </w:rPr>
              <w:t>Variant 1 (朴素基线)</w:t>
            </w:r>
          </w:p>
        </w:tc>
        <w:tc>
          <w:tcPr>
            <w:tcW w:type="dxa" w:w="1550"/>
            <w:tcBorders>
              <w:top w:val="none"/>
              <w:bottom w:val="none"/>
              <w:left w:val="none"/>
              <w:right w:val="none"/>
            </w:tcBorders>
          </w:tcPr>
          <w:p>
            <w:r>
              <w:rPr>
                <w:rFonts w:ascii="SimSun" w:hAnsi="SimSun"/>
                <w:sz w:val="19"/>
              </w:rPr>
              <w:t>\times</w:t>
            </w:r>
          </w:p>
        </w:tc>
        <w:tc>
          <w:tcPr>
            <w:tcW w:type="dxa" w:w="1550"/>
            <w:tcBorders>
              <w:top w:val="none"/>
              <w:bottom w:val="none"/>
              <w:left w:val="none"/>
              <w:right w:val="none"/>
            </w:tcBorders>
          </w:tcPr>
          <w:p>
            <w:r>
              <w:rPr>
                <w:rFonts w:ascii="SimSun" w:hAnsi="SimSun"/>
                <w:sz w:val="19"/>
              </w:rPr>
              <w:t>\times</w:t>
            </w:r>
          </w:p>
        </w:tc>
        <w:tc>
          <w:tcPr>
            <w:tcW w:type="dxa" w:w="1550"/>
            <w:tcBorders>
              <w:top w:val="none"/>
              <w:bottom w:val="none"/>
              <w:left w:val="none"/>
              <w:right w:val="none"/>
            </w:tcBorders>
          </w:tcPr>
          <w:p>
            <w:r>
              <w:rPr>
                <w:rFonts w:ascii="SimSun" w:hAnsi="SimSun"/>
                <w:sz w:val="19"/>
              </w:rPr>
              <w:t>固定参数</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\TODO{待填}</w:t>
            </w:r>
          </w:p>
        </w:tc>
      </w:tr>
      <w:tr>
        <w:tc>
          <w:tcPr>
            <w:tcW w:type="dxa" w:w="1550"/>
            <w:tcBorders>
              <w:top w:val="none"/>
              <w:bottom w:val="none"/>
              <w:left w:val="none"/>
              <w:right w:val="none"/>
            </w:tcBorders>
          </w:tcPr>
          <w:p>
            <w:r>
              <w:rPr>
                <w:rFonts w:ascii="SimSun" w:hAnsi="SimSun"/>
                <w:sz w:val="19"/>
              </w:rPr>
              <w:t>Variant 2 (仅引入量化)</w:t>
            </w:r>
          </w:p>
        </w:tc>
        <w:tc>
          <w:tcPr>
            <w:tcW w:type="dxa" w:w="1550"/>
            <w:tcBorders>
              <w:top w:val="none"/>
              <w:bottom w:val="none"/>
              <w:left w:val="none"/>
              <w:right w:val="none"/>
            </w:tcBorders>
          </w:tcPr>
          <w:p>
            <w:r>
              <w:rPr>
                <w:rFonts w:ascii="SimSun" w:hAnsi="SimSun"/>
                <w:sz w:val="19"/>
              </w:rPr>
              <w:t>\times</w:t>
            </w:r>
          </w:p>
        </w:tc>
        <w:tc>
          <w:tcPr>
            <w:tcW w:type="dxa" w:w="1550"/>
            <w:tcBorders>
              <w:top w:val="none"/>
              <w:bottom w:val="none"/>
              <w:left w:val="none"/>
              <w:right w:val="none"/>
            </w:tcBorders>
          </w:tcPr>
          <w:p>
            <w:r>
              <w:rPr>
                <w:rFonts w:ascii="SimSun" w:hAnsi="SimSun"/>
                <w:sz w:val="19"/>
              </w:rPr>
              <w:t>\checkmark</w:t>
            </w:r>
          </w:p>
        </w:tc>
        <w:tc>
          <w:tcPr>
            <w:tcW w:type="dxa" w:w="1550"/>
            <w:tcBorders>
              <w:top w:val="none"/>
              <w:bottom w:val="none"/>
              <w:left w:val="none"/>
              <w:right w:val="none"/>
            </w:tcBorders>
          </w:tcPr>
          <w:p>
            <w:r>
              <w:rPr>
                <w:rFonts w:ascii="SimSun" w:hAnsi="SimSun"/>
                <w:sz w:val="19"/>
              </w:rPr>
              <w:t>固定参数</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\TODO{待填}</w:t>
            </w:r>
          </w:p>
        </w:tc>
      </w:tr>
      <w:tr>
        <w:tc>
          <w:tcPr>
            <w:tcW w:type="dxa" w:w="1550"/>
            <w:tcBorders>
              <w:top w:val="none"/>
              <w:bottom w:val="none"/>
              <w:left w:val="none"/>
              <w:right w:val="none"/>
            </w:tcBorders>
          </w:tcPr>
          <w:p>
            <w:r>
              <w:rPr>
                <w:rFonts w:ascii="SimSun" w:hAnsi="SimSun"/>
                <w:sz w:val="19"/>
              </w:rPr>
              <w:t>Variant 3 (仅引入门控)</w:t>
            </w:r>
          </w:p>
        </w:tc>
        <w:tc>
          <w:tcPr>
            <w:tcW w:type="dxa" w:w="1550"/>
            <w:tcBorders>
              <w:top w:val="none"/>
              <w:bottom w:val="none"/>
              <w:left w:val="none"/>
              <w:right w:val="none"/>
            </w:tcBorders>
          </w:tcPr>
          <w:p>
            <w:r>
              <w:rPr>
                <w:rFonts w:ascii="SimSun" w:hAnsi="SimSun"/>
                <w:sz w:val="19"/>
              </w:rPr>
              <w:t>\checkmark</w:t>
            </w:r>
          </w:p>
        </w:tc>
        <w:tc>
          <w:tcPr>
            <w:tcW w:type="dxa" w:w="1550"/>
            <w:tcBorders>
              <w:top w:val="none"/>
              <w:bottom w:val="none"/>
              <w:left w:val="none"/>
              <w:right w:val="none"/>
            </w:tcBorders>
          </w:tcPr>
          <w:p>
            <w:r>
              <w:rPr>
                <w:rFonts w:ascii="SimSun" w:hAnsi="SimSun"/>
                <w:sz w:val="19"/>
              </w:rPr>
              <w:t>\times</w:t>
            </w:r>
          </w:p>
        </w:tc>
        <w:tc>
          <w:tcPr>
            <w:tcW w:type="dxa" w:w="1550"/>
            <w:tcBorders>
              <w:top w:val="none"/>
              <w:bottom w:val="none"/>
              <w:left w:val="none"/>
              <w:right w:val="none"/>
            </w:tcBorders>
          </w:tcPr>
          <w:p>
            <w:r>
              <w:rPr>
                <w:rFonts w:ascii="SimSun" w:hAnsi="SimSun"/>
                <w:sz w:val="19"/>
              </w:rPr>
              <w:t>动态调节</w:t>
            </w:r>
          </w:p>
        </w:tc>
        <w:tc>
          <w:tcPr>
            <w:tcW w:type="dxa" w:w="1550"/>
            <w:tcBorders>
              <w:top w:val="none"/>
              <w:bottom w:val="none"/>
              <w:left w:val="none"/>
              <w:right w:val="none"/>
            </w:tcBorders>
          </w:tcPr>
          <w:p>
            <w:r>
              <w:rPr>
                <w:rFonts w:ascii="SimSun" w:hAnsi="SimSun"/>
                <w:sz w:val="19"/>
              </w:rPr>
              <w:t>\TODO{待填}</w:t>
            </w:r>
          </w:p>
        </w:tc>
        <w:tc>
          <w:tcPr>
            <w:tcW w:type="dxa" w:w="1550"/>
            <w:tcBorders>
              <w:top w:val="none"/>
              <w:bottom w:val="none"/>
              <w:left w:val="none"/>
              <w:right w:val="none"/>
            </w:tcBorders>
          </w:tcPr>
          <w:p>
            <w:r>
              <w:rPr>
                <w:rFonts w:ascii="SimSun" w:hAnsi="SimSun"/>
                <w:sz w:val="19"/>
              </w:rPr>
              <w:t>\TODO{待填}</w:t>
            </w:r>
          </w:p>
        </w:tc>
      </w:tr>
      <w:tr>
        <w:tc>
          <w:tcPr>
            <w:tcW w:type="dxa" w:w="1550"/>
            <w:tcBorders>
              <w:top w:val="none"/>
              <w:bottom w:val="single" w:sz="12" w:space="0" w:color="000000"/>
              <w:left w:val="none"/>
              <w:right w:val="none"/>
            </w:tcBorders>
          </w:tcPr>
          <w:p>
            <w:r>
              <w:rPr>
                <w:rFonts w:ascii="SimSun" w:hAnsi="SimSun"/>
                <w:sz w:val="19"/>
              </w:rPr>
              <w:t>本文完整方法 (Full)</w:t>
            </w:r>
          </w:p>
        </w:tc>
        <w:tc>
          <w:tcPr>
            <w:tcW w:type="dxa" w:w="1550"/>
            <w:tcBorders>
              <w:top w:val="none"/>
              <w:bottom w:val="single" w:sz="12" w:space="0" w:color="000000"/>
              <w:left w:val="none"/>
              <w:right w:val="none"/>
            </w:tcBorders>
          </w:tcPr>
          <w:p>
            <w:r>
              <w:rPr>
                <w:rFonts w:ascii="SimSun" w:hAnsi="SimSun"/>
                <w:sz w:val="19"/>
              </w:rPr>
              <w:t>\checkmark</w:t>
            </w:r>
          </w:p>
        </w:tc>
        <w:tc>
          <w:tcPr>
            <w:tcW w:type="dxa" w:w="1550"/>
            <w:tcBorders>
              <w:top w:val="none"/>
              <w:bottom w:val="single" w:sz="12" w:space="0" w:color="000000"/>
              <w:left w:val="none"/>
              <w:right w:val="none"/>
            </w:tcBorders>
          </w:tcPr>
          <w:p>
            <w:r>
              <w:rPr>
                <w:rFonts w:ascii="SimSun" w:hAnsi="SimSun"/>
                <w:sz w:val="19"/>
              </w:rPr>
              <w:t>\checkmark</w:t>
            </w:r>
          </w:p>
        </w:tc>
        <w:tc>
          <w:tcPr>
            <w:tcW w:type="dxa" w:w="1550"/>
            <w:tcBorders>
              <w:top w:val="none"/>
              <w:bottom w:val="single" w:sz="12" w:space="0" w:color="000000"/>
              <w:left w:val="none"/>
              <w:right w:val="none"/>
            </w:tcBorders>
          </w:tcPr>
          <w:p>
            <w:r>
              <w:rPr>
                <w:rFonts w:ascii="SimSun" w:hAnsi="SimSun"/>
                <w:sz w:val="19"/>
              </w:rPr>
              <w:t>全自适应</w:t>
            </w:r>
          </w:p>
        </w:tc>
        <w:tc>
          <w:tcPr>
            <w:tcW w:type="dxa" w:w="1550"/>
            <w:tcBorders>
              <w:top w:val="none"/>
              <w:bottom w:val="single" w:sz="12" w:space="0" w:color="000000"/>
              <w:left w:val="none"/>
              <w:right w:val="none"/>
            </w:tcBorders>
          </w:tcPr>
          <w:p>
            <w:r>
              <w:rPr>
                <w:rFonts w:ascii="SimSun" w:hAnsi="SimSun"/>
                <w:sz w:val="19"/>
              </w:rPr>
              <w:t>\TODO{待填}</w:t>
            </w:r>
          </w:p>
        </w:tc>
        <w:tc>
          <w:tcPr>
            <w:tcW w:type="dxa" w:w="1550"/>
            <w:tcBorders>
              <w:top w:val="none"/>
              <w:bottom w:val="single" w:sz="12" w:space="0" w:color="000000"/>
              <w:left w:val="none"/>
              <w:right w:val="none"/>
            </w:tcBorders>
          </w:tcPr>
          <w:p>
            <w:r>
              <w:rPr>
                <w:rFonts w:ascii="SimSun" w:hAnsi="SimSun"/>
                <w:sz w:val="19"/>
              </w:rPr>
              <w:t>\TODO{待填}</w:t>
            </w:r>
          </w:p>
        </w:tc>
      </w:tr>
    </w:tbl>
    <w:p/>
    <w:p>
      <w:pPr>
        <w:spacing w:line="324" w:lineRule="auto" w:after="80"/>
        <w:ind w:firstLine="403"/>
      </w:pPr>
      <w:r>
        <w:rPr>
          <w:rFonts w:ascii="SimSun" w:hAnsi="SimSun" w:eastAsia="SimSun"/>
          <w:sz w:val="24"/>
        </w:rPr>
        <w:t>\noindent\footnotesize{</w:t>
      </w:r>
    </w:p>
    <w:p>
      <w:pPr>
        <w:keepNext/>
        <w:pageBreakBefore/>
        <w:spacing w:before="240" w:after="120"/>
        <w:jc w:val="center"/>
      </w:pPr>
      <w:r>
        <w:rPr>
          <w:rFonts w:ascii="SimHei" w:hAnsi="SimHei" w:eastAsia="SimHei"/>
          <w:b/>
          <w:sz w:val="32"/>
        </w:rPr>
        <w:t>总结与未来工作展望</w:t>
      </w:r>
    </w:p>
    <w:p>
      <w:pPr>
        <w:keepNext/>
        <w:spacing w:before="240" w:after="120"/>
      </w:pPr>
      <w:r>
        <w:rPr>
          <w:rFonts w:ascii="SimHei" w:hAnsi="SimHei" w:eastAsia="SimHei"/>
          <w:b/>
          <w:sz w:val="28"/>
        </w:rPr>
        <w:t>全文工作总结</w:t>
      </w:r>
    </w:p>
    <w:p>
      <w:pPr>
        <w:spacing w:line="324" w:lineRule="auto" w:after="80"/>
        <w:ind w:firstLine="403"/>
      </w:pPr>
      <w:r>
        <w:rPr>
          <w:rFonts w:ascii="SimSun" w:hAnsi="SimSun" w:eastAsia="SimSun"/>
          <w:sz w:val="24"/>
        </w:rPr>
        <w:t>本学位论文立足于 6G 移动通信系统物理层关键技术的重大演进需求，针对传统香农分立架构在短码长下的率失真崩溃及数字通信固有的信道悬崖效应，以北京大学 085402 通信工程硕士研究生培养规范为标杆，开展了系统性的面向高速时变信道的轻量化自适应深度信源信道联合语义通信（Deep JSCC）研究。本文的主要学术贡献与技术成果总结如下：</w:t>
      </w:r>
    </w:p>
    <w:p>
      <w:pPr>
        <w:spacing w:line="324" w:lineRule="auto" w:after="80"/>
        <w:ind w:firstLine="403"/>
      </w:pPr>
      <w:r>
        <w:rPr>
          <w:rFonts w:ascii="SimSun" w:hAnsi="SimSun" w:eastAsia="SimSun"/>
          <w:sz w:val="24"/>
        </w:rPr>
        <w:t>创新性地提出了基于瞬时 CSI 门控反馈的轻量级通道门控剪枝单元（DCGU）。该机制在信噪比突变时能够以微秒级时间快速重塑传输流形维度，在保证高保真语义传递的同时彻底消除了传统神经网络因信噪比失配导致的泛化崩溃；</w:t>
      </w:r>
    </w:p>
    <w:p>
      <w:pPr>
        <w:spacing w:line="324" w:lineRule="auto" w:after="80"/>
        <w:ind w:firstLine="403"/>
      </w:pPr>
      <w:r>
        <w:rPr>
          <w:rFonts w:ascii="SimSun" w:hAnsi="SimSun" w:eastAsia="SimSun"/>
          <w:sz w:val="24"/>
        </w:rPr>
        <w:t>构建了端到端可微分非均匀星座矢量量化收发机结构，打通了 Deep JSCC 直接在现有商用 QAM 射频硬件与 SDR 原型机上部署的工程路径；</w:t>
      </w:r>
    </w:p>
    <w:p>
      <w:pPr>
        <w:spacing w:line="324" w:lineRule="auto" w:after="80"/>
        <w:ind w:firstLine="403"/>
      </w:pPr>
      <w:r>
        <w:rPr>
          <w:rFonts w:ascii="SimSun" w:hAnsi="SimSun" w:eastAsia="SimSun"/>
          <w:sz w:val="24"/>
        </w:rPr>
        <w:t>在 5G NR TDL-D 高多普勒时变多径信道仿真平台中，系统评估了本文方法在低信噪比与深度多径衰落恶劣工况下的重构保真度与平滑抗衰落特性，为后续硬件测试提供了可复现的基准。</w:t>
      </w:r>
    </w:p>
    <w:p>
      <w:pPr>
        <w:keepNext/>
        <w:spacing w:before="240" w:after="120"/>
      </w:pPr>
      <w:r>
        <w:rPr>
          <w:rFonts w:ascii="SimHei" w:hAnsi="SimHei" w:eastAsia="SimHei"/>
          <w:b/>
          <w:sz w:val="28"/>
        </w:rPr>
        <w:t>未来研究工作展望</w:t>
      </w:r>
    </w:p>
    <w:p>
      <w:pPr>
        <w:spacing w:line="324" w:lineRule="auto" w:after="80"/>
        <w:ind w:firstLine="403"/>
      </w:pPr>
      <w:r>
        <w:rPr>
          <w:rFonts w:ascii="SimSun" w:hAnsi="SimSun" w:eastAsia="SimSun"/>
          <w:sz w:val="24"/>
        </w:rPr>
        <w:t>本论文所提方案虽在理论推导与基准仿真中展现出显著优越性，但面对 6G 全场景智能互联的长远愿景，后续仍有以下三个极具学术价值的探索维度：</w:t>
      </w:r>
    </w:p>
    <w:p>
      <w:pPr>
        <w:spacing w:line="324" w:lineRule="auto" w:after="80"/>
        <w:ind w:firstLine="403"/>
      </w:pPr>
      <w:r>
        <w:rPr>
          <w:rFonts w:ascii="SimSun" w:hAnsi="SimSun" w:eastAsia="SimSun"/>
          <w:sz w:val="24"/>
        </w:rPr>
        <w:t>当前收敛性推导主要基于经验平滑性假设。未来可进一步借助随机微分方程（SDE）与统计物理流形理论，建立连续非线性特征投影在快时变多径信道下的紧致信道容量解析上界；</w:t>
      </w:r>
    </w:p>
    <w:p>
      <w:pPr>
        <w:spacing w:line="324" w:lineRule="auto" w:after="80"/>
        <w:ind w:firstLine="403"/>
      </w:pPr>
      <w:r>
        <w:rPr>
          <w:rFonts w:ascii="SimSun" w:hAnsi="SimSun" w:eastAsia="SimSun"/>
          <w:sz w:val="24"/>
        </w:rPr>
        <w:t>将雷达探测感知信号与语义通信特征进行空时频维度的物理级正交共享，在同一射频波形中协同实现毫米级目标定位跟踪与低时延语义信息交互；</w:t>
      </w:r>
    </w:p>
    <w:p>
      <w:pPr>
        <w:spacing w:line="324" w:lineRule="auto" w:after="80"/>
        <w:ind w:firstLine="403"/>
      </w:pPr>
      <w:r>
        <w:rPr>
          <w:rFonts w:ascii="SimSun" w:hAnsi="SimSun" w:eastAsia="SimSun"/>
          <w:sz w:val="24"/>
        </w:rPr>
        <w:t>将本文设计的 DCGU 门控逻辑与卷积分析算子固化至定制硬件 IP 核中，在实际车规级芯片平台上开展流片验证与现场外场试验。</w:t>
      </w:r>
    </w:p>
    <w:p>
      <w:pPr>
        <w:spacing w:line="324" w:lineRule="auto" w:after="80"/>
        <w:ind w:firstLine="403"/>
      </w:pPr>
      <w:r>
        <w:rPr>
          <w:rFonts w:ascii="SimSun" w:hAnsi="SimSun" w:eastAsia="SimSun"/>
          <w:sz w:val="24"/>
        </w:rPr>
        <w:t>XIE H, QIN Z, LI G Y, et al. Deep learning enabled semantic communication systems[J]. IEEE Transactions on Signal Processing, 2021, 69: 2663--2675. DOI: 10.1109/TSP.2021.3071210.</w:t>
      </w:r>
    </w:p>
    <w:p>
      <w:pPr>
        <w:spacing w:line="324" w:lineRule="auto" w:after="80"/>
        <w:ind w:firstLine="403"/>
      </w:pPr>
      <w:r>
        <w:rPr>
          <w:rFonts w:ascii="SimSun" w:hAnsi="SimSun" w:eastAsia="SimSun"/>
          <w:sz w:val="24"/>
        </w:rPr>
        <w:t>DAI J, WANG S, TAN K, et al. Nonlinear transform source-channel coding for semantic communications[J]. IEEE Journal on Selected Areas in Communications, 2022, 40(8): 2300--2316. DOI: 10.1109/JSAC.2022.3180802.</w:t>
      </w:r>
    </w:p>
    <w:p>
      <w:pPr>
        <w:spacing w:line="324" w:lineRule="auto" w:after="80"/>
        <w:ind w:firstLine="403"/>
      </w:pPr>
      <w:r>
        <w:rPr>
          <w:rFonts w:ascii="SimSun" w:hAnsi="SimSun" w:eastAsia="SimSun"/>
          <w:sz w:val="24"/>
        </w:rPr>
        <w:t>HUANG J, YUAN K, HUANG C, et al. D²-JSCC: Digital deep joint source-channel coding for semantic communications[J]. IEEE Journal on Selected Areas in Communications, 2025, 43(4): 1246--1261. DOI: 10.1109/JSAC.2025.3531546.</w:t>
      </w:r>
    </w:p>
    <w:p>
      <w:pPr>
        <w:spacing w:line="324" w:lineRule="auto" w:after="80"/>
        <w:ind w:firstLine="403"/>
      </w:pPr>
      <w:r>
        <w:rPr>
          <w:rFonts w:ascii="SimSun" w:hAnsi="SimSun" w:eastAsia="SimSun"/>
          <w:sz w:val="24"/>
        </w:rPr>
        <w:t>LYU Z, ZHU G, XU J. Semantic communications for image recovery and classification via deep joint source and channel coding[J]. IEEE Transactions on Wireless Communications, 2024, 23(8): 8388--8404. DOI: 10.1109/TWC.2023.3349330.</w:t>
      </w:r>
    </w:p>
    <w:p>
      <w:pPr>
        <w:spacing w:line="324" w:lineRule="auto" w:after="80"/>
        <w:ind w:firstLine="403"/>
      </w:pPr>
      <w:r>
        <w:rPr>
          <w:rFonts w:ascii="SimSun" w:hAnsi="SimSun" w:eastAsia="SimSun"/>
          <w:sz w:val="24"/>
        </w:rPr>
        <w:t>WANG S, DAI J, LIANG Z, et al. Wireless deep video semantic transmission[J]. IEEE Journal on Selected Areas in Communications, 2023, 41(1): 214--229. DOI: 10.1109/JSAC.2022.3221977.</w:t>
      </w:r>
    </w:p>
    <w:p>
      <w:pPr>
        <w:spacing w:line="324" w:lineRule="auto" w:after="80"/>
        <w:ind w:firstLine="403"/>
      </w:pPr>
      <w:r>
        <w:rPr>
          <w:rFonts w:ascii="SimSun" w:hAnsi="SimSun" w:eastAsia="SimSun"/>
          <w:sz w:val="24"/>
        </w:rPr>
        <w:t>NGUYEN L X, RAHA A D, AUNG P S, et al. A contemporary survey on semantic communications: Theory of mind, generative AI, and deep joint source-channel coding[J]. IEEE Communications Surveys \&amp; Tutorials, 2026, 28: 2377--2417. DOI: 10.1109/COMST.2025.3616973.</w:t>
      </w:r>
    </w:p>
    <w:sectPr w:rsidR="00FC693F" w:rsidRPr="0006063C" w:rsidSect="00034616">
      <w:pgSz w:w="12240" w:h="15840"/>
      <w:pgMar w:top="1699" w:right="1469" w:bottom="1411" w:left="14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