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论文候选题目</w:t>
      </w:r>
    </w:p>
    <w:p>
      <w:pPr>
        <w:pStyle w:val="Heading2"/>
      </w:pPr>
      <w:r>
        <w:t>推荐</w:t>
      </w:r>
    </w:p>
    <w:p>
      <w:pPr/>
      <w:r/>
      <w:r>
        <w:rPr>
          <w:b/>
        </w:rPr>
        <w:t>Temporal Fusion Transformer with Lag-Augmented Single-Step Learning for Robust PEMFC Degradation Prediction</w:t>
      </w:r>
      <w:r/>
    </w:p>
    <w:p>
      <w:pPr>
        <w:pStyle w:val="Heading2"/>
      </w:pPr>
      <w:r>
        <w:t>备选</w:t>
      </w:r>
    </w:p>
    <w:p>
      <w:pPr>
        <w:pStyle w:val="ListNumber"/>
      </w:pPr>
      <w:r/>
      <w:r>
        <w:rPr>
          <w:b/>
        </w:rPr>
        <w:t>Stable PEMFC Remaining Useful Life Prediction via Lag-Augmented Temporal Fusion Transformer</w:t>
      </w:r>
      <w:r/>
    </w:p>
    <w:p>
      <w:pPr>
        <w:pStyle w:val="ListNumber"/>
      </w:pPr>
      <w:r/>
      <w:r>
        <w:rPr>
          <w:b/>
        </w:rPr>
        <w:t>Beyond Sliding Windows: Single-Step Prediction with Multi-Lag Augmentation and Temporal Fusion Transformer for PEMFC Health Monitoring</w:t>
      </w:r>
      <w:r/>
    </w:p>
    <w:p>
      <w:pPr>
        <w:pStyle w:val="ListNumber"/>
      </w:pPr>
      <w:r/>
      <w:r>
        <w:rPr>
          <w:b/>
        </w:rPr>
        <w:t>A Lightweight Temporal Fusion Transformer Framework for Cross-Condition PEMFC Voltage Degradation Forecasting</w:t>
      </w:r>
      <w:r/>
    </w:p>
    <w:p>
      <w:pPr>
        <w:pStyle w:val="ListNumber"/>
      </w:pPr>
      <w:r/>
      <w:r>
        <w:rPr>
          <w:b/>
        </w:rPr>
        <w:t>TFT-LAG: Lag-Augmented Temporal Fusion Transformer for Robust PEMFC Durability Prediction</w:t>
      </w:r>
      <w:r/>
    </w:p>
    <w:p>
      <w:pPr>
        <w:pStyle w:val="ListNumber"/>
      </w:pPr>
      <w:r/>
      <w:r>
        <w:rPr>
          <w:b/>
        </w:rPr>
        <w:t>From Static Filtering to Dynamic Selection: Interpreting PEMFC Degradation Predictions through Variable Selection and SHAP Analysis</w:t>
      </w:r>
      <w:r/>
    </w:p>
    <w:p>
      <w:pPr/>
      <w:r>
        <w:t>---</w:t>
      </w:r>
    </w:p>
    <w:p>
      <w:pPr>
        <w:pStyle w:val="Heading2"/>
      </w:pPr>
      <w:r>
        <w:t>哪个好</w:t>
      </w:r>
    </w:p>
    <w:p>
      <w:pPr>
        <w:pStyle w:val="ListBullet"/>
      </w:pPr>
      <w:r/>
      <w:r>
        <w:rPr>
          <w:b/>
        </w:rPr>
        <w:t>推荐稿</w:t>
      </w:r>
      <w:r>
        <w:t>最平衡——三个核心关键词（TFT, Lag, Single-Step）都在标题里，审稿人扫一眼就知道做了什么</w:t>
      </w:r>
    </w:p>
    <w:p>
      <w:pPr>
        <w:pStyle w:val="ListBullet"/>
      </w:pPr>
      <w:r/>
      <w:r>
        <w:rPr>
          <w:b/>
        </w:rPr>
        <w:t>备选1</w:t>
      </w:r>
      <w:r>
        <w:t>太像"我在卖TFT"</w:t>
      </w:r>
    </w:p>
    <w:p>
      <w:pPr>
        <w:pStyle w:val="ListBullet"/>
      </w:pPr>
      <w:r/>
      <w:r>
        <w:rPr>
          <w:b/>
        </w:rPr>
        <w:t>备选3</w:t>
      </w:r>
      <w:r>
        <w:t>太长</w:t>
      </w:r>
    </w:p>
    <w:p>
      <w:pPr>
        <w:pStyle w:val="ListBullet"/>
      </w:pPr>
      <w:r/>
      <w:r>
        <w:rPr>
          <w:b/>
        </w:rPr>
        <w:t>备选5</w:t>
      </w:r>
      <w:r>
        <w:t>偏可解释性，和论文重点不一致</w:t>
      </w:r>
    </w:p>
    <w:p>
      <w:pPr/>
      <w:r>
        <w:t>用推荐稿，投Energy或IJHE不用改。</w:t>
      </w:r>
    </w:p>
    <w:p>
      <w:pPr>
        <w:pStyle w:val="Heading1"/>
      </w:pPr>
      <w:r>
        <w:t>摘要</w:t>
      </w:r>
    </w:p>
    <w:p>
      <w:pPr/>
      <w:r>
        <w:t>质子交换膜燃料电池（PEMFC）的耐久性不足是制约其大规模商业化的核心瓶颈，数据驱动的剩余使用寿命预测方法为电堆健康管理提供了</w:t>
      </w:r>
      <w:r>
        <w:rPr>
          <w:highlight w:val="92D050"/>
        </w:rPr>
        <w:t>一种新思路</w:t>
      </w:r>
      <w:r>
        <w:rPr>
          <w:highlight w:val="92D050"/>
        </w:rPr>
        <w:t>一种新思路</w:t>
      </w:r>
      <w:r>
        <w:t>，但面临时序退化信号微弱、单电堆训练数据有限以及</w:t>
      </w:r>
      <w:r>
        <w:rPr>
          <w:highlight w:val="FFFF00"/>
        </w:rPr>
        <w:t>模型选择与工况特性之间的关联缺乏系统研究</w:t>
      </w:r>
      <w:r>
        <w:rPr>
          <w:highlight w:val="FFFF00"/>
        </w:rPr>
        <w:t>模型选择与工况特性之间的关联缺乏系统研究</w:t>
      </w:r>
      <w:r>
        <w:t>三重挑战。</w:t>
      </w:r>
      <w:r>
        <w:rPr>
          <w:highlight w:val="FFFF00"/>
        </w:rPr>
        <w:t>本文以IEEE 2014 PHM数据集中的电流纹波工况（FC2）为主实验对象——纹波负载模拟了车用燃料电池负载动态变化的一个维度，其传感器丰富的动态变化为数据驱动模型提供了高信息密度的训练样本——以准静态工况（FC1）为交叉验证，提出</w:t>
      </w:r>
      <w:r>
        <w:rPr>
          <w:highlight w:val="FFFF00"/>
        </w:rPr>
        <w:t>本文以IEEE 2014 PHM数据集中的电流纹波工况（FC2）为主实验对象——纹波负载模拟了车用燃料电池负载动态变化的一个维度，其传感器丰富的动态变化为数据驱动模型提供了高信息密度的训练样本——以准静态工况（FC1）为交叉验证，提出</w:t>
      </w:r>
      <w:r>
        <w:t>一种基于时序融合Transformer（Temporal Fusion Transformer, TFT）的PEMFC退化状态估计与剩余使用寿命预测框架，核心</w:t>
      </w:r>
      <w:r>
        <w:rPr>
          <w:highlight w:val="92D050"/>
        </w:rPr>
        <w:t>设计</w:t>
      </w:r>
      <w:r>
        <w:rPr>
          <w:highlight w:val="92D050"/>
        </w:rPr>
        <w:t>设计</w:t>
      </w:r>
      <w:r>
        <w:t>在于：针对PEMFC电压衰减缓慢（每1000小时仅约5.6%）导致传统滑动窗口内信噪比&lt;1的问题，设计L=1监督学习与多步滞后增强（lag=1,2,4）相结合的策略——将任务从"从微弱时序信号中捕捉退化趋势"转化为"基于历史传感器状态推断当前电压"的单步状态映射（state mapping），</w:t>
      </w:r>
      <w:r>
        <w:rPr>
          <w:highlight w:val="FFFF00"/>
        </w:rPr>
        <w:t>本质上是一种条件状态推断而非严格意义上的前向外推预测（forecasting）</w:t>
      </w:r>
      <w:r>
        <w:rPr>
          <w:highlight w:val="FFFF00"/>
        </w:rPr>
        <w:t>本质上是一种条件状态推断而非严格意义上的前向外推预测（forecasting）</w:t>
      </w:r>
      <w:r>
        <w:t>，通过三个时间距离的观测副本在沿用L=1回归范式的同时实现3倍数据扩展（</w:t>
      </w:r>
      <w:r>
        <w:rPr>
          <w:highlight w:val="FFFF00"/>
        </w:rPr>
        <w:t>FC2: 2038→6114</w:t>
      </w:r>
      <w:r>
        <w:rPr>
          <w:highlight w:val="FFFF00"/>
        </w:rPr>
        <w:t>FC2: 2038→6114</w:t>
      </w:r>
      <w:r>
        <w:t>）；首次将TFT引入PEMFC退化预测，利用其Variable Selection机制自动学习24个传感器的差异化权重，GRN门控网络针对性抑制噪声维度，解决了纯LSTM和TSMixer等方法在某些工况下出现的训练发散问题</w:t>
      </w:r>
      <w:r>
        <w:rPr>
          <w:highlight w:val="FFFF00"/>
        </w:rPr>
        <w:t>（FC2消融实验中，TFT Min R²=0.89，是在两个可用电堆的所有消融模型中唯一在所有50次训练中均保持正R²的架构；TSMixer在FC2纹波工况下Min R²达0.95，也表明模型性能与工况特性之间存在显著关联）</w:t>
      </w:r>
      <w:r>
        <w:rPr>
          <w:highlight w:val="FFFF00"/>
        </w:rPr>
        <w:t>（FC2消融实验中，TFT Min R²=0.89，是在两个可用电堆的所有消融模型中唯一在所有50次训练中均保持正R²的架构；TSMixer在FC2纹波工况下Min R²达0.95，也表明模型性能与工况特性之间存在显著关联）</w:t>
      </w:r>
      <w:r>
        <w:t>；通过Spearman+RF+Variable Selection+SHAP四重特征重要性交叉验证，</w:t>
      </w:r>
      <w:r>
        <w:rPr>
          <w:highlight w:val="92D050"/>
        </w:rPr>
        <w:t>发现</w:t>
      </w:r>
      <w:r>
        <w:rPr>
          <w:highlight w:val="92D050"/>
        </w:rPr>
        <w:t>发现</w:t>
      </w:r>
      <w:r>
        <w:t>流量/温度传感器对退化的间接驱动力——这一被基于线性相关的传统特征筛选系统性遗漏的模式；MC Dropout不确定性量化（预测标准差均值0.179%）为工程维护决策提供了置信度</w:t>
      </w:r>
      <w:r>
        <w:rPr>
          <w:highlight w:val="92D050"/>
        </w:rPr>
        <w:t>参考</w:t>
      </w:r>
      <w:r>
        <w:rPr>
          <w:highlight w:val="92D050"/>
        </w:rPr>
        <w:t>参考</w:t>
      </w:r>
      <w:r>
        <w:t>；</w:t>
      </w:r>
      <w:r>
        <w:rPr>
          <w:highlight w:val="FFFF00"/>
        </w:rPr>
        <w:t>在两电堆（FC1和FC2）的消融实验中观察到模型性能排序在两种工况下完全反转——DLinear在FC1准静态工况下表现优异（Mean R²=0.91），但在FC2纹波工况下彻底失效（R²≈-4.3）；TSMixer则完全相反，在FC1上极不稳定（Min R²=0.21）而在FC2上成为最稳定模型（Min R²=0.95）。这一现象表明在PEMFC退化预测中模型性能与工况特性之间存在强关联，模型选型应考虑负载特性。由于两个电堆各自仅在一种工况下运行，该观察的因果性质（"工况决定模型适配"抑或"电堆个体差异驱动差异"）有待更多电堆数据的验证。</w:t>
      </w:r>
      <w:r>
        <w:rPr>
          <w:highlight w:val="FFFF00"/>
        </w:rPr>
        <w:t>在两电堆（FC1和FC2）的消融实验中观察到模型性能排序在两种工况下完全反转——DLinear在FC1准静态工况下表现优异（Mean R²=0.91），但在FC2纹波工况下彻底失效（R²≈-4.3）；TSMixer则完全相反，在FC1上极不稳定（Min R²=0.21）而在FC2上成为最稳定模型（Min R²=0.95）。这一现象表明在PEMFC退化预测中模型性能与工况特性之间存在强关联，模型选型应考虑负载特性。由于两个电堆各自仅在一种工况下运行，该观察的因果性质（"工况决定模型适配"抑或"电堆个体差异驱动差异"）有待更多电堆数据的验证。</w:t>
      </w:r>
      <w:r>
        <w:t>研究成果为PEMFC在线健康管理中的传感器优先级排序、采样策略设计</w:t>
      </w:r>
      <w:r>
        <w:rPr>
          <w:highlight w:val="FFFF00"/>
        </w:rPr>
        <w:t>和工况特征感知的模型选择</w:t>
      </w:r>
      <w:r>
        <w:rPr>
          <w:highlight w:val="FFFF00"/>
        </w:rPr>
        <w:t>和工况特征感知的模型选择</w:t>
      </w:r>
      <w:r>
        <w:t>提供了量化基础。</w:t>
      </w:r>
    </w:p>
    <w:p>
      <w:pPr/>
      <w:r/>
      <w:r>
        <w:rPr>
          <w:b/>
        </w:rPr>
        <w:t>关键词</w:t>
      </w:r>
      <w:r>
        <w:t>：质子交换膜燃料电池；剩余使用寿命预测；时序融合Transformer；滞后增强；可解释性分析；</w:t>
      </w:r>
      <w:r>
        <w:rPr>
          <w:highlight w:val="FFFF00"/>
        </w:rPr>
        <w:t>模型-工况关联</w:t>
      </w:r>
      <w:r>
        <w:rPr>
          <w:highlight w:val="FFFF00"/>
        </w:rPr>
        <w:t>模型-工况关联</w:t>
      </w:r>
      <w:r>
        <w:t>；不确定性量化</w:t>
      </w:r>
    </w:p>
    <w:p>
      <w:r>
        <w:br w:type="page"/>
      </w:r>
    </w:p>
    <w:p>
      <w:pPr>
        <w:pStyle w:val="Heading1"/>
      </w:pPr>
      <w:r>
        <w:t>1. 引言</w:t>
      </w:r>
    </w:p>
    <w:p>
      <w:pPr/>
      <w:r>
        <w:t>质子交换膜燃料电池（Proton Exchange Membrane Fuel Cell, PEMFC）因其高能量密度、零排放和快速启动等优势，被视为新能源汽车、分布式发电和备用电源领域最具前景的清洁能源转换技术之一。经过二十余年的技术迭代，PEMFC的电堆功率密度和成本已接近商业化门槛——丰田Mirai、现代NEXO等燃料电池乘用车已实现量产销售。然而，耐久性不足仍然是制约PEMFC大规模产业化的核心瓶颈：美国能源部（DOE）设定的2025年目标是乘用车电堆寿命达到8000小时、公交车达到30000小时，而当前商业化电堆的实际寿命普遍在4000-6000小时——差距仍然显著。</w:t>
      </w:r>
    </w:p>
    <w:p>
      <w:pPr/>
      <w:r>
        <w:t>PEMFC退化的复杂性源于其多物理场耦合的失效机理。在长期运行中，膜电极组件（MEA）经受着多重退化：质子交换膜的化学降解和机械穿孔、催化剂的团聚和溶解、气体扩散层的碳腐蚀和疏水性丧失。这些过程并非独立发生——膜变薄导致氢气渗透增加，渗透的氢气与氧气在阴极催化燃烧产生局部热点，热点加速催化剂烧结，催化剂活性下降导致需要更高的过电位维持电流……退化是链式反应，最终以"电压随时间缓慢下降"的形式呈现。这种多机理耦合使得基于物理模型的退化预测面临根本性困难——需要标定的参数过多、各机理之间的定量关系仍缺乏共识。</w:t>
      </w:r>
    </w:p>
    <w:p>
      <w:pPr/>
      <w:r>
        <w:t>在此背景下，数据驱动的剩余使用寿命（Remaining Useful Life, RUL）预测方法近年来受到学术界和工业界的广泛关注。与基于物理模型的方法不同，数据驱动方法不需要建立电堆退化的显式微分方程——它们从历史运行数据中自主学习"传感器读数如何映射到退化状态"。特别是深度学习方法——以长短期记忆网络（LSTM）为代表的循环神经网络——因其对时序依赖关系的强建模能力，在PEMFC退化预测中取得了</w:t>
      </w:r>
      <w:r>
        <w:rPr>
          <w:highlight w:val="92D050"/>
        </w:rPr>
        <w:t>出色的</w:t>
      </w:r>
      <w:r>
        <w:rPr>
          <w:highlight w:val="92D050"/>
        </w:rPr>
        <w:t>出色的</w:t>
      </w:r>
      <w:r>
        <w:t>性能。IEEE 2014 PHM Data Challenge的发布进一步推动了这一方向：该数据集提供了两片1kW级PEMFC电堆在约1000小时耐久性测试中的24个传感器数据，成为领域内使用最广泛的基准。</w:t>
      </w:r>
    </w:p>
    <w:p>
      <w:pPr/>
      <w:r>
        <w:t>然而，现有数据驱动方法在实际PEMFC退化预测中面临三个系统性困难。</w:t>
      </w:r>
    </w:p>
    <w:p>
      <w:pPr/>
      <w:r/>
      <w:r>
        <w:rPr>
          <w:b/>
        </w:rPr>
        <w:t>第一，时序信号极度微弱。</w:t>
      </w:r>
      <w:r>
        <w:t xml:space="preserve"> PEMFC的退化</w:t>
      </w:r>
      <w:r>
        <w:rPr>
          <w:highlight w:val="92D050"/>
        </w:rPr>
        <w:t>非常</w:t>
      </w:r>
      <w:r>
        <w:rPr>
          <w:highlight w:val="92D050"/>
        </w:rPr>
        <w:t>非常</w:t>
      </w:r>
      <w:r>
        <w:t>缓慢——以FC1为例，在1000小时的测试中，电堆总电压（Utot）仅下降约5.6%，平均每小时下降约0.00018V。</w:t>
      </w:r>
      <w:r>
        <w:rPr>
          <w:highlight w:val="FFFF00"/>
        </w:rPr>
        <w:t>即使在FC2纹波工况下，电压的纹波包络衰减同样缓慢——负载波动的幅度（约±0.02V）远大于退化趋势本身（约±0.001V/10h）。</w:t>
      </w:r>
      <w:r>
        <w:rPr>
          <w:highlight w:val="FFFF00"/>
        </w:rPr>
        <w:t>即使在FC2纹波工况下，电压的纹波包络衰减同样缓慢——负载波动的幅度（约±0.02V）远大于退化趋势本身（约±0.001V/10h）。</w:t>
      </w:r>
      <w:r>
        <w:t>这一变化量远小于传感器测量噪声（±0.005V量级）。传统的"滑动窗口+LSTM"方法试图从连续L个时刻的数据中学习退化规律，但窗口内（如L=10即10小时）的电压总变化约0.0018V——信号强度低于噪声幅度。当模型被迫从"信噪比&lt;1"的信号中提取模式时，其梯度被噪声主导，收敛困难且不稳定。这不是LSTM或任何模型架构的能力问题——是输入信息本身的质量限制。</w:t>
      </w:r>
    </w:p>
    <w:p>
      <w:pPr/>
      <w:r/>
      <w:r>
        <w:rPr>
          <w:b/>
        </w:rPr>
        <w:t>第二，单电堆数据量不足以支撑复杂模型。</w:t>
      </w:r>
      <w:r>
        <w:t xml:space="preserve"> PEMFC全生命周期测试成本极高——一片商业规格电堆的1000小时测试需消耗数千克氢气，加上测试台架运行和人工成本，单次测试费用可达数十万元。因此，大多数PEMFC退化研究仅基于1-3片电堆的数据——这与图像识别（百万级样本）或自然语言处理（十亿级token）的训练数据规模存在数量级差距。在小样本条件下，Transformer、深层LSTM等参数密集型模型极易过拟合——模型记住的是"这一片电堆在1000小时里的样子"而非"PEMFC退化的普适规律"。工程上最关心的Min R2（最差种子下的性能）往往远低于论文中报告的单独一次最佳R2。</w:t>
      </w:r>
    </w:p>
    <w:p>
      <w:pPr/>
      <w:r/>
      <w:r>
        <w:rPr>
          <w:b/>
        </w:rPr>
        <w:t>第三，跨工况泛化存在盲区。</w:t>
      </w:r>
      <w:r>
        <w:t xml:space="preserve"> 实验室耐久性测试通常采用恒流放电模式，而实际车用场景中功率随驾驶工况剧烈变化。公认的是，不同运行条件（恒流、变流、启停、温度循环）会激活不同的退化机理。然而，多数研究仅在单一工况上训练和测试，鲜有工作系统评估"恒流下训练的模型在纹波工况下是否仍然有效"。这导致文献中报告的"高精度"可能局限于特定测试条件，模型在真实世界的适用性存疑。</w:t>
      </w:r>
    </w:p>
    <w:p>
      <w:pPr/>
      <w:r>
        <w:t>针对以上三个困难，本文提出一种基于时序融合Transformer（Temporal Fusion Transformer, TFT）的PEMFC退化预测框架。本文的核心贡献包括以下三个方面：</w:t>
      </w:r>
    </w:p>
    <w:p>
      <w:pPr/>
      <w:r/>
      <w:r>
        <w:rPr>
          <w:b/>
        </w:rPr>
        <w:t>（1）数据层面：L=1监督学习 + 多步滞后增强策略。</w:t>
      </w:r>
      <w:r>
        <w:t xml:space="preserve"> 针对时序信号微弱和样本量不足的双重挑战，本文放弃了传统滑动窗口范式，采用L=1单时间步监督学习——将任务从"从微弱时序信号中捕捉退化趋势"转化为</w:t>
      </w:r>
      <w:r>
        <w:rPr>
          <w:highlight w:val="FFFF00"/>
        </w:rPr>
        <w:t>"基于历史传感器状态推断当前电压"的单步状态映射（state mapping），本质上是一种条件状态推断而非严格意义上的前向外推预测（forecasting）</w:t>
      </w:r>
      <w:r>
        <w:rPr>
          <w:highlight w:val="FFFF00"/>
        </w:rPr>
        <w:t>"基于历史传感器状态推断当前电压"的单步状态映射（state mapping），本质上是一种条件状态推断而非严格意义上的前向外推预测（forecasting）</w:t>
      </w:r>
      <w:r>
        <w:t>。这种看似"退步"的设计实则回避了窗口内信噪比过低的核心矛盾。为补偿L=1损失的时间维度信息，提出多步滞后增强（lag=1,2,4）：对每个时刻同时提供1小时前、2小时前和4小时前的观测副本，每条样本附加lag标记列。该策略同时实现三重目标——保留L=1回归范式的简单性、通过3倍数据扩展缓解小样本问题</w:t>
      </w:r>
      <w:r>
        <w:rPr>
          <w:highlight w:val="FFFF00"/>
        </w:rPr>
        <w:t>（FC2: 2038→6114, FC1: 1151→3453）</w:t>
      </w:r>
      <w:r>
        <w:rPr>
          <w:highlight w:val="FFFF00"/>
        </w:rPr>
        <w:t>（FC2: 2038→6114, FC1: 1151→3453）</w:t>
      </w:r>
      <w:r>
        <w:t>、使模型能感知不同时间距离的退化历史。</w:t>
      </w:r>
    </w:p>
    <w:p>
      <w:pPr/>
      <w:r/>
      <w:r>
        <w:rPr>
          <w:b/>
        </w:rPr>
        <w:t>（2）方法层面：TFT架构在PEMFC退化中的适配与验证。</w:t>
      </w:r>
      <w:r>
        <w:t xml:space="preserve"> 将TFT首次引入PEMFC退化预测，利用其四个核心组件的协同作用：Variable Selection（自动学习24个传感器的差异化权重，替代人工特征筛选）、LSTM编码器（在batch维度上传递退化历史）、GRN门控残差网络（自适应抑制噪声传感器的影响）和MultiheadAttention（在特征维度捕获跨传感器的退化一致性）。</w:t>
      </w:r>
      <w:r>
        <w:rPr>
          <w:highlight w:val="FFFF00"/>
        </w:rPr>
        <w:t>在两个可用电堆（FC2纹波+FC1准静态）的系统消融实验中，TFT是所有消融模型中唯一在所有50次训练中均保持正R²的架构——FC2上Min R²=0.89, Mean R²=0.95；FC1上Min R²=0.79, Mean R²=0.90。</w:t>
      </w:r>
      <w:r>
        <w:rPr>
          <w:highlight w:val="FFFF00"/>
        </w:rPr>
        <w:t>在两个可用电堆（FC2纹波+FC1准静态）的系统消融实验中，TFT是所有消融模型中唯一在所有50次训练中均保持正R²的架构——FC2上Min R²=0.89, Mean R²=0.95；FC1上Min R²=0.79, Mean R²=0.90。</w:t>
      </w:r>
      <w:r>
        <w:t>GRN对训练稳定性起决定性作用——FC1上去掉GRN后Min R²从0.79降至-2.21。</w:t>
      </w:r>
    </w:p>
    <w:p>
      <w:pPr/>
      <w:r>
        <w:t>**（3）验证层面：完善的评估框架</w:t>
      </w:r>
      <w:r>
        <w:rPr>
          <w:highlight w:val="FFFF00"/>
        </w:rPr>
        <w:t>与"模型-工况关联"发现</w:t>
      </w:r>
      <w:r>
        <w:rPr>
          <w:highlight w:val="FFFF00"/>
        </w:rPr>
        <w:t>与"模型-工况关联"发现</w:t>
      </w:r>
      <w:r>
        <w:t>。** 本文采用Loop 50协议（50次独立训练报告Min/Mean/Max R2）替代文献中常用的"单次最佳结果上报"，使稳定性成为可量化比较的指标。</w:t>
      </w:r>
      <w:r>
        <w:rPr>
          <w:highlight w:val="FFFF00"/>
        </w:rPr>
        <w:t>以FC2（电流纹波工况）为主实验、FC1（准静态工况）为交叉验证，在两电堆上进行了完整的消融实验——观察到模型性能排序在两种工况下完全反转：DLinear在准静态工况下表现优异（Mean R2=0.91）但在纹波工况下完全失效（R2≈-4.3）；TSMixer则完全相反，在纹波工况下成为最稳定模型（Min R2=0.95）而在准静态工况下极不稳定（Min R2=0.21）。鉴于各工况仅有一个电堆可用，这一"模型-工况关联"现象的因果方向（工况特性驱动 vs 电堆个体差异驱动）有待更多数据验证。</w:t>
      </w:r>
      <w:r>
        <w:rPr>
          <w:highlight w:val="FFFF00"/>
        </w:rPr>
        <w:t>以FC2（电流纹波工况）为主实验、FC1（准静态工况）为交叉验证，在两电堆上进行了完整的消融实验——观察到模型性能排序在两种工况下完全反转：DLinear在准静态工况下表现优异（Mean R2=0.91）但在纹波工况下完全失效（R2≈-4.3）；TSMixer则完全相反，在纹波工况下成为最稳定模型（Min R2=0.95）而在准静态工况下极不稳定（Min R2=0.21）。鉴于各工况仅有一个电堆可用，这一"模型-工况关联"现象的因果方向（工况特性驱动 vs 电堆个体差异驱动）有待更多数据验证。</w:t>
      </w:r>
      <w:r>
        <w:t>辅以Spearman+RF双重特征筛选、SHAP可解释性分析和MC Dropout不确定性量化——形成从"预测精度"到"为什么这个预测可信"的完整证据链，为方法的工程部署提供了置信度基础。</w:t>
      </w:r>
    </w:p>
    <w:p>
      <w:pPr/>
      <w:r>
        <w:t>本文其余部分组织如下：第2章回顾相关研究工作；第3章详细描述数据集和预处理流程；第4章阐述TFT模型架构和训练策略；第5章报告实验结果并展开分析讨论；第6章总结全文并展望未来方向。</w:t>
      </w:r>
    </w:p>
    <w:p>
      <w:r>
        <w:br w:type="page"/>
      </w:r>
    </w:p>
    <w:p>
      <w:pPr>
        <w:pStyle w:val="Heading1"/>
      </w:pPr>
      <w:r>
        <w:t>2. 相关工作</w:t>
      </w:r>
    </w:p>
    <w:p>
      <w:pPr>
        <w:pStyle w:val="Heading2"/>
      </w:pPr>
      <w:r>
        <w:t>2.1 PEMFC退化机理与寿命预测</w:t>
      </w:r>
    </w:p>
    <w:p>
      <w:pPr/>
      <w:r>
        <w:t>PEMFC的老化是膜电极组件中多种材料同步退化的耦合过程。从失效模式分类，主要包括：质子交换膜的化学降解（自由基攻击主链和侧链导致膜变薄）和机械降解（湿度循环引起的应力疲劳）、阴极催化剂的团聚与溶解（Ostwald熟化和电位循环引起的Pt溶解-再沉积）、气体扩散层的碳腐蚀（高电位下的碳氧化）和疏水性丧失（PTFE脱落）。这些失效模式最终表现为电堆的电压随时间逐渐下降——初期（0-200小时）的快速活化衰减、中期（200-8000小时）的准线性退化、末期的加速失效。</w:t>
      </w:r>
    </w:p>
    <w:p>
      <w:pPr/>
      <w:r>
        <w:t>基于物理模型的寿命预测方法从上述机理出发，建立描述各退化过程的偏微分方程组——例如催化剂团聚的Ostwald方程、膜降解的化学衰减率方程等——通过数值求解预测电堆的电压衰减轨迹。这类方法的优势是具有明确的物理可解释性，其局限在于：(1)模型参数需通过大量离线表征实验标定（如循环伏安法测ECSA、交流阻抗谱测膜电阻），数据获取成本高；(2)各机理之间的耦合关系（如膜穿孔加剧催化剂中毒）尚缺乏定量描述；(3)模型标定通常针对特定材料和运行条件，缺乏跨设计、跨工况的泛化能力。</w:t>
      </w:r>
    </w:p>
    <w:p>
      <w:pPr/>
      <w:r>
        <w:t>数据驱动方法规避了机理建模的困难。早期工作采用支持向量回归（SVR）、高斯过程回归（GPR）和人工神经网络（ANN）等浅层方法，直接从传感器数据映射到退化指标。这些方法在小样本下具有一定优势，但受限于对时序依赖关系的建模能力——它们将每个时间点的样本视为独立同分布，丢弃了退化过程中的时间连续性信息。</w:t>
      </w:r>
    </w:p>
    <w:p>
      <w:pPr>
        <w:pStyle w:val="Heading2"/>
      </w:pPr>
      <w:r>
        <w:t>2.2 深度学习在PEMFC退化预测中的应用</w:t>
      </w:r>
    </w:p>
    <w:p>
      <w:pPr/>
      <w:r>
        <w:t>LSTM因其对长期时序依赖的建模能力，成为PEMFC退化预测中最广泛使用的深度学习方法。Liu等（2018）首次将LSTM应用于PEMFC剩余使用寿命预测，在IEEE 2014数据集上验证了方法的可行性。Ma等（2019）在LSTM基础上引入注意力机制，使模型能聚焦于关键时间段的退化特征。Zhang等（2020）采用双向LSTM（BiLSTM）同时编码前向和后向时序信息。这些工作的共同点是采用滑动窗口构造序列样本，窗口长度一般为5-20个时间点。</w:t>
      </w:r>
    </w:p>
    <w:p>
      <w:pPr/>
      <w:r>
        <w:t>然而，滑动窗口策略在PEMFC退化场景中面临根本性限制。以典型的L=10窗口、1小时采样间隔为例，10小时内的电堆电压变化约0.0018V——这一信号强度低于大多数测试台架的电压测量噪声（±0.005V）。当模型被要求从"信噪比&lt;1"的数据中提取时序规律时，其优化过程被噪声主导，最终学习到的是噪声模式而非退化趋势。这一问题并非LSTM或注意力机制的缺陷——是输入信息本身的物理限制。部分研究试图通过Savitzky-Golay滤波或小波去噪来增强信号，但这本质上是用预定义的数学形式先验地"告诉"模型退化应该是什么样的——削弱了数据驱动方法"从数据中发现规律"的核心优势。</w:t>
      </w:r>
    </w:p>
    <w:p>
      <w:pPr/>
      <w:r>
        <w:rPr>
          <w:highlight w:val="FFFF00"/>
        </w:rPr>
        <w:t>表1扩展版：本文与扩展基准文献的对比</w:t>
      </w:r>
      <w:r>
        <w:rPr>
          <w:highlight w:val="FFFF00"/>
        </w:rPr>
        <w:t>表1扩展版：本文与扩展基准文献的对比</w:t>
      </w:r>
    </w:p>
    <w:p>
      <w:pPr/>
      <w:r>
        <w:rPr>
          <w:highlight w:val="FFFF00"/>
        </w:rPr>
        <w:t>除表1所列工作外，PEMFC退化预测领域还存在多条重要研究线索。Morando等[25]采用回声状态网络（Echo State Network, ESN）预测PEMFC老化趋势，其储备池计算范式回避了RNN的梯度消失问题——ESN在短序列条件下表现出与LSTM互补的特性。Hua等[23]系统对比了LSTM与传统方法（SVR、GPR）在多电堆数据集上的预测效果，发现LSTM的优势主要在长期预测（&gt;500h）中体现——侧面说明了短期预测的难度和L=1策略的合理性。Zhou等[26]和Zhang等[27]分别从数据预处理和注意力增强角度改进了LSTM在PEMFC上的预测精度，共同采用滑动窗口范式——这些工作与本研究的对比验证了"滑动窗口在PEMFC微弱退化信号下本质受限"这一核心论断。Mayur和Bessler[28]代表了数据驱动与物理模型结合的中间路线——利用电化学模型的仿真数据增强训练集，在缺乏大量实测退化数据的情况下提供了一种可行的混合策略，但与本文纯数据驱动的定位不同。</w:t>
      </w:r>
      <w:r>
        <w:rPr>
          <w:highlight w:val="FFFF00"/>
        </w:rPr>
        <w:t>除表1所列工作外，PEMFC退化预测领域还存在多条重要研究线索。Morando等[25]采用回声状态网络（Echo State Network, ESN）预测PEMFC老化趋势，其储备池计算范式回避了RNN的梯度消失问题——ESN在短序列条件下表现出与LSTM互补的特性。Hua等[23]系统对比了LSTM与传统方法（SVR、GPR）在多电堆数据集上的预测效果，发现LSTM的优势主要在长期预测（&gt;500h）中体现——侧面说明了短期预测的难度和L=1策略的合理性。Zhou等[26]和Zhang等[27]分别从数据预处理和注意力增强角度改进了LSTM在PEMFC上的预测精度，共同采用滑动窗口范式——这些工作与本研究的对比验证了"滑动窗口在PEMFC微弱退化信号下本质受限"这一核心论断。Mayur和Bessler[28]代表了数据驱动与物理模型结合的中间路线——利用电化学模型的仿真数据增强训练集，在缺乏大量实测退化数据的情况下提供了一种可行的混合策略，但与本文纯数据驱动的定位不同。</w:t>
      </w:r>
    </w:p>
    <w:p>
      <w:pPr>
        <w:pStyle w:val="Heading2"/>
      </w:pPr>
      <w:r>
        <w:t>2.3 Temporal Fusion Transformer (TFT)</w:t>
      </w:r>
    </w:p>
    <w:p>
      <w:pPr/>
      <w:r>
        <w:t>TFT由Lim等在2021年提出[Lim et al., International Journal of Forecasting, 2021]，最初设计用于多步时序预测任务，在零售需求预测、电力负荷预测、交通流量预测等多个领域</w:t>
      </w:r>
      <w:r>
        <w:rPr>
          <w:highlight w:val="92D050"/>
        </w:rPr>
        <w:t>取得了良好效果</w:t>
      </w:r>
      <w:r>
        <w:rPr>
          <w:highlight w:val="92D050"/>
        </w:rPr>
        <w:t>取得了良好效果</w:t>
      </w:r>
      <w:r>
        <w:t>。TFT集成了四个</w:t>
      </w:r>
      <w:r>
        <w:rPr>
          <w:highlight w:val="92D050"/>
        </w:rPr>
        <w:t>关键</w:t>
      </w:r>
      <w:r>
        <w:rPr>
          <w:highlight w:val="92D050"/>
        </w:rPr>
        <w:t>关键</w:t>
      </w:r>
      <w:r>
        <w:t>组件：(1)Variable Selection——通过可学习权重对多变量输入进行软选择，替代人工特征工程；(2)LSTM编码器——捕获时序中的短期和长期依赖；(3)GRN门控残差网络——自适应抑制无关输入，增强模型的抗噪能力；(4)MultiheadAttention——在全局时间步之间进行交互，捕获长期依赖。</w:t>
      </w:r>
    </w:p>
    <w:p>
      <w:pPr/>
      <w:r>
        <w:t>TFT的关键设计理念是"可解释的深度学习"——与传统的"黑箱"深度模型不同，TFT通过Variable Selection的可学习权重和Attention的权重分布，提供了关于"模型在关注哪些特征""哪些时间步对预测最重要"的直接洞察。这一特性对PEMFC退化预测尤为重要——工程人员不仅需要"预测精度是多少"，更需要知道"是什么传感器信号驱动了预测""预测为什么在这个时刻发生变化"。</w:t>
      </w:r>
    </w:p>
    <w:p>
      <w:pPr/>
      <w:r>
        <w:t>TFT最初面向长序列多步预测设计，其时间维度的注意力机制和序列到序列的解码器结构需要序列长度L≥10才能发挥效果。在本文的L=1应用场景下，Attention退化为特征维度的交互——捕获"不同传感器之间如何共同表征退化状态"，而非"不同时间点之间如何传递退化信息"。这一适配虽然让TFT损失了其部分"时序融合"优势，但保留了Variable Selection和GRN的核心能力——它们是本文方法的关键组件。</w:t>
      </w:r>
    </w:p>
    <w:p>
      <w:pPr>
        <w:pStyle w:val="Heading2"/>
      </w:pPr>
      <w:r>
        <w:t>2.4 特征选择与可解释性</w:t>
      </w:r>
    </w:p>
    <w:p>
      <w:pPr/>
      <w:r>
        <w:t>在PEMFC退化预测中，特征选择具有独特的重要性——24个传感器并非同等重要。物理上，Utot是退化的直接表征，U1-U5的单片一致性反映了电堆均匀性，温度和流量则是影响退化速率的环境变量。错误的特征筛选——如仅凭线性相关性剔除温度传感器——可能导致模型丧失对"退化加速"的敏锐感知：当冷却水温度升高时，膜脱水加剧，电压下降可能加速，而"温度升高"这一模式在仅含电压类特征的数据中是看不到的。</w:t>
      </w:r>
    </w:p>
    <w:p>
      <w:pPr/>
      <w:r>
        <w:t>传统特征选择方法包括过滤式（基于相关系数、互信息）、包裹式（基于模型性能的递归消除）和嵌入式（L1正则化、树模型重要性）。这些方法的共同局限是"静态性"——它们在训练前一次性完成筛选，固定的特征子集不能适应退化不同阶段的信息需求变化。TFT的Variable Selection提供了一种不同的范式：特征权重是模型参数的一部分，在训练中通过梯度反传与模型一同优化——这是一种"动态嵌入式"特征选择，权重可以根据LSTM隐状态的需要实时变化。</w:t>
      </w:r>
    </w:p>
    <w:p>
      <w:pPr/>
      <w:r>
        <w:t>SHAP（SHapley Additive exPlanations）作为模型事后解释工具，近年来在工程领域受到广泛关注。SHAP基于合作博弈论中的Shapley值——将每个输入特征视为"博弈参与者"，计算其对预测值的边际贡献。与LIME等局部线性近似方法不同，SHAP具有坚实的理论性质（效率性、对称性、虚拟性和可加性），并且适用于任何黑箱模型。本文同时使用TFT内置的VS权重和外部SHAP值进行双重特征重要性验证——前者是模型"自己告诉你的"，后者是外部工具"独立检验的"，两者的一致性构成了可解释性的强力证据。</w:t>
      </w:r>
    </w:p>
    <w:p>
      <w:pPr>
        <w:pStyle w:val="Heading2"/>
      </w:pPr>
      <w:r>
        <w:t>2.5 不确定性量化</w:t>
      </w:r>
    </w:p>
    <w:p>
      <w:pPr/>
      <w:r>
        <w:t>在实际工程部署中，仅提供"点估计"的预测是不够的——维护决策需要知道"这个预测有多可信"。以RUL为例：若模型预测"电堆将在100小时后失效，±10小时"，维护团队可以在90-100小时窗口内安排停机更换；若预测是"100小时后失效，±50小时"，则这一预测对于维护计划的制定几乎没有价值——不确定性区间覆盖了整整两天的运行窗口。</w:t>
      </w:r>
    </w:p>
    <w:p>
      <w:pPr/>
      <w:r>
        <w:t>贝叶斯神经网络通过为每个权重引入先验分布来量化不确定性，但训练成本高，难以扩展到深层模型。MC Dropout[Gal and Ghahramani, ICML, 2016]提供了一种轻量级替代方案：在测试时保持Dropout层激活，进行多次前向传播（如50次），预测值的方差即模型不确定性的估计。其理论依据是：带有Dropout的神经网络等价于深度高斯过程的变分近似。MC Dropout的优势在于零模型修改、零额外训练成本——本文TFT在训练中已使用Dropout(0.15)正则化，推理时直接复用。</w:t>
      </w:r>
    </w:p>
    <w:p>
      <w:pPr>
        <w:pStyle w:val="Heading2"/>
      </w:pPr>
      <w:r>
        <w:t>2.6 现有工作的不足与本文定位</w:t>
      </w:r>
    </w:p>
    <w:p>
      <w:pPr/>
      <w:r>
        <w:rPr>
          <w:highlight w:val="92D050"/>
        </w:rPr>
        <w:t>综合来看</w:t>
      </w:r>
      <w:r>
        <w:rPr>
          <w:highlight w:val="92D050"/>
        </w:rPr>
        <w:t>综合来看</w:t>
      </w:r>
      <w:r>
        <w:t>，PEMFC退化预测领域尚存在以下未充分解决的问题：(1)滑动窗口在微弱退化信号下的内在矛盾——窗口内信噪比过低导致模型无法学习有效的时序规律；(2)报告"单次最佳R2"而非多次训练的统计分布——掩盖了深度学习模型固有的训练不稳定性；(3)可解释性停留在简单的相关系数分析——未触及"模型为什么这样预测"的机制层面；(4)跨工况泛化缺乏系统评估——恒流训练的模型在纹波或变载工况下是否仍然有效缺少证据。</w:t>
      </w:r>
    </w:p>
    <w:p>
      <w:pPr/>
      <w:r>
        <w:t>本文的工作致力于在上述四个方面做出改进：提出L=1+滞后增强策略从根本上解决信噪比问题；采用Loop 50评估协议以统计的诚实性取代单次最佳结果的"选优报告"；通过TFT内置VS权重与外部SHAP值的双重验证，提供从模型内部到外部的完整可解释性证据链；</w:t>
      </w:r>
      <w:r>
        <w:rPr>
          <w:highlight w:val="FFFF00"/>
        </w:rPr>
        <w:t>以FC2电流纹波工况为主实验、FC1准静态工况为交叉验证，在两工况上进行独立验证和消融实验——发现了"模型-工况适配"的关键规律。</w:t>
      </w:r>
      <w:r>
        <w:rPr>
          <w:highlight w:val="FFFF00"/>
        </w:rPr>
        <w:t>以FC2电流纹波工况为主实验、FC1准静态工况为交叉验证，在两工况上进行独立验证和消融实验——发现了"模型-工况适配"的关键规律。</w:t>
      </w:r>
      <w:r>
        <w:t>表1给出了本文与代表性相关工作的对比。</w:t>
      </w:r>
    </w:p>
    <w:p>
      <w:pPr/>
      <w:r/>
      <w:r>
        <w:rPr>
          <w:b/>
        </w:rPr>
        <w:t>[此处插入表1: 本文与代表性相关工作对比]</w:t>
      </w:r>
      <w:r/>
    </w:p>
    <w:p>
      <w:pPr/>
      <w:r/>
      <w:r>
        <w:rPr>
          <w:b/>
        </w:rPr>
        <w:t>表1 本文与相关工作对比</w:t>
      </w:r>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fill="D9E2F3"/>
          </w:tcPr>
          <w:p>
            <w:r/>
            <w:r>
              <w:rPr>
                <w:b/>
                <w:sz w:val="18"/>
              </w:rPr>
              <w:t>工作</w:t>
            </w:r>
          </w:p>
        </w:tc>
        <w:tc>
          <w:tcPr>
            <w:tcW w:type="dxa" w:w="1440"/>
            <w:shd w:fill="D9E2F3"/>
          </w:tcPr>
          <w:p>
            <w:r/>
            <w:r>
              <w:rPr>
                <w:b/>
                <w:sz w:val="18"/>
              </w:rPr>
              <w:t>模型</w:t>
            </w:r>
          </w:p>
        </w:tc>
        <w:tc>
          <w:tcPr>
            <w:tcW w:type="dxa" w:w="1440"/>
            <w:shd w:fill="D9E2F3"/>
          </w:tcPr>
          <w:p>
            <w:r/>
            <w:r>
              <w:rPr>
                <w:b/>
                <w:sz w:val="18"/>
              </w:rPr>
              <w:t>输入策略</w:t>
            </w:r>
          </w:p>
        </w:tc>
        <w:tc>
          <w:tcPr>
            <w:tcW w:type="dxa" w:w="1440"/>
            <w:shd w:fill="D9E2F3"/>
          </w:tcPr>
          <w:p>
            <w:r/>
            <w:r>
              <w:rPr>
                <w:b/>
                <w:sz w:val="18"/>
              </w:rPr>
              <w:t>评估方式</w:t>
            </w:r>
          </w:p>
        </w:tc>
        <w:tc>
          <w:tcPr>
            <w:tcW w:type="dxa" w:w="1440"/>
            <w:shd w:fill="D9E2F3"/>
          </w:tcPr>
          <w:p>
            <w:r/>
            <w:r>
              <w:rPr>
                <w:b/>
                <w:sz w:val="18"/>
              </w:rPr>
              <w:t>可解释性</w:t>
            </w:r>
          </w:p>
        </w:tc>
        <w:tc>
          <w:tcPr>
            <w:tcW w:type="dxa" w:w="1440"/>
            <w:shd w:fill="D9E2F3"/>
          </w:tcPr>
          <w:p>
            <w:r/>
            <w:r>
              <w:rPr>
                <w:b/>
                <w:sz w:val="18"/>
              </w:rPr>
              <w:t>跨工况</w:t>
            </w:r>
          </w:p>
        </w:tc>
      </w:tr>
      <w:tr>
        <w:tc>
          <w:tcPr>
            <w:tcW w:type="dxa" w:w="1440"/>
          </w:tcPr>
          <w:p>
            <w:r/>
            <w:r>
              <w:rPr>
                <w:b w:val="0"/>
                <w:sz w:val="18"/>
              </w:rPr>
              <w:t>Liu et al. (2018)</w:t>
            </w:r>
          </w:p>
        </w:tc>
        <w:tc>
          <w:tcPr>
            <w:tcW w:type="dxa" w:w="1440"/>
          </w:tcPr>
          <w:p>
            <w:r/>
            <w:r>
              <w:rPr>
                <w:b w:val="0"/>
                <w:sz w:val="18"/>
              </w:rPr>
              <w:t>LSTM</w:t>
            </w:r>
          </w:p>
        </w:tc>
        <w:tc>
          <w:tcPr>
            <w:tcW w:type="dxa" w:w="1440"/>
          </w:tcPr>
          <w:p>
            <w:r/>
            <w:r>
              <w:rPr>
                <w:b w:val="0"/>
                <w:sz w:val="18"/>
              </w:rPr>
              <w:t>滑动窗口</w:t>
            </w:r>
          </w:p>
        </w:tc>
        <w:tc>
          <w:tcPr>
            <w:tcW w:type="dxa" w:w="1440"/>
          </w:tcPr>
          <w:p>
            <w:r/>
            <w:r>
              <w:rPr>
                <w:b w:val="0"/>
                <w:sz w:val="18"/>
              </w:rPr>
              <w:t>单次最佳</w:t>
            </w:r>
          </w:p>
        </w:tc>
        <w:tc>
          <w:tcPr>
            <w:tcW w:type="dxa" w:w="1440"/>
          </w:tcPr>
          <w:p>
            <w:r/>
            <w:r>
              <w:rPr>
                <w:b w:val="0"/>
                <w:sz w:val="18"/>
              </w:rPr>
              <w:t>无</w:t>
            </w:r>
          </w:p>
        </w:tc>
        <w:tc>
          <w:tcPr>
            <w:tcW w:type="dxa" w:w="1440"/>
          </w:tcPr>
          <w:p>
            <w:r/>
            <w:r>
              <w:rPr>
                <w:b w:val="0"/>
                <w:sz w:val="18"/>
              </w:rPr>
              <w:t>无</w:t>
            </w:r>
          </w:p>
        </w:tc>
      </w:tr>
      <w:tr>
        <w:tc>
          <w:tcPr>
            <w:tcW w:type="dxa" w:w="1440"/>
          </w:tcPr>
          <w:p>
            <w:r/>
            <w:r>
              <w:rPr>
                <w:b w:val="0"/>
                <w:sz w:val="18"/>
              </w:rPr>
              <w:t>Ma et al. (2019)</w:t>
            </w:r>
          </w:p>
        </w:tc>
        <w:tc>
          <w:tcPr>
            <w:tcW w:type="dxa" w:w="1440"/>
          </w:tcPr>
          <w:p>
            <w:r/>
            <w:r>
              <w:rPr>
                <w:b w:val="0"/>
                <w:sz w:val="18"/>
              </w:rPr>
              <w:t>LSTM+Attention</w:t>
            </w:r>
          </w:p>
        </w:tc>
        <w:tc>
          <w:tcPr>
            <w:tcW w:type="dxa" w:w="1440"/>
          </w:tcPr>
          <w:p>
            <w:r/>
            <w:r>
              <w:rPr>
                <w:b w:val="0"/>
                <w:sz w:val="18"/>
              </w:rPr>
              <w:t>滑动窗口</w:t>
            </w:r>
          </w:p>
        </w:tc>
        <w:tc>
          <w:tcPr>
            <w:tcW w:type="dxa" w:w="1440"/>
          </w:tcPr>
          <w:p>
            <w:r/>
            <w:r>
              <w:rPr>
                <w:b w:val="0"/>
                <w:sz w:val="18"/>
              </w:rPr>
              <w:t>单次最佳</w:t>
            </w:r>
          </w:p>
        </w:tc>
        <w:tc>
          <w:tcPr>
            <w:tcW w:type="dxa" w:w="1440"/>
          </w:tcPr>
          <w:p>
            <w:r/>
            <w:r>
              <w:rPr>
                <w:b w:val="0"/>
                <w:sz w:val="18"/>
              </w:rPr>
              <w:t>Attention权重</w:t>
            </w:r>
          </w:p>
        </w:tc>
        <w:tc>
          <w:tcPr>
            <w:tcW w:type="dxa" w:w="1440"/>
          </w:tcPr>
          <w:p>
            <w:r/>
            <w:r>
              <w:rPr>
                <w:b w:val="0"/>
                <w:sz w:val="18"/>
              </w:rPr>
              <w:t>无</w:t>
            </w:r>
          </w:p>
        </w:tc>
      </w:tr>
      <w:tr>
        <w:tc>
          <w:tcPr>
            <w:tcW w:type="dxa" w:w="1440"/>
          </w:tcPr>
          <w:p>
            <w:r/>
            <w:r>
              <w:rPr>
                <w:b w:val="0"/>
                <w:sz w:val="18"/>
              </w:rPr>
              <w:t>Zhang et al. (2020)</w:t>
            </w:r>
          </w:p>
        </w:tc>
        <w:tc>
          <w:tcPr>
            <w:tcW w:type="dxa" w:w="1440"/>
          </w:tcPr>
          <w:p>
            <w:r/>
            <w:r>
              <w:rPr>
                <w:b w:val="0"/>
                <w:sz w:val="18"/>
              </w:rPr>
              <w:t>BiLSTM</w:t>
            </w:r>
          </w:p>
        </w:tc>
        <w:tc>
          <w:tcPr>
            <w:tcW w:type="dxa" w:w="1440"/>
          </w:tcPr>
          <w:p>
            <w:r/>
            <w:r>
              <w:rPr>
                <w:b w:val="0"/>
                <w:sz w:val="18"/>
              </w:rPr>
              <w:t>滑动窗口</w:t>
            </w:r>
          </w:p>
        </w:tc>
        <w:tc>
          <w:tcPr>
            <w:tcW w:type="dxa" w:w="1440"/>
          </w:tcPr>
          <w:p>
            <w:r/>
            <w:r>
              <w:rPr>
                <w:b w:val="0"/>
                <w:sz w:val="18"/>
              </w:rPr>
              <w:t>单次最佳</w:t>
            </w:r>
          </w:p>
        </w:tc>
        <w:tc>
          <w:tcPr>
            <w:tcW w:type="dxa" w:w="1440"/>
          </w:tcPr>
          <w:p>
            <w:r/>
            <w:r>
              <w:rPr>
                <w:b w:val="0"/>
                <w:sz w:val="18"/>
              </w:rPr>
              <w:t>无</w:t>
            </w:r>
          </w:p>
        </w:tc>
        <w:tc>
          <w:tcPr>
            <w:tcW w:type="dxa" w:w="1440"/>
          </w:tcPr>
          <w:p>
            <w:r/>
            <w:r>
              <w:rPr>
                <w:b w:val="0"/>
                <w:sz w:val="18"/>
              </w:rPr>
              <w:t>无</w:t>
            </w:r>
          </w:p>
        </w:tc>
      </w:tr>
      <w:tr>
        <w:tc>
          <w:tcPr>
            <w:tcW w:type="dxa" w:w="1440"/>
          </w:tcPr>
          <w:p>
            <w:r/>
            <w:r>
              <w:rPr>
                <w:b w:val="0"/>
                <w:sz w:val="18"/>
              </w:rPr>
              <w:t>本文</w:t>
            </w:r>
          </w:p>
        </w:tc>
        <w:tc>
          <w:tcPr>
            <w:tcW w:type="dxa" w:w="1440"/>
          </w:tcPr>
          <w:p>
            <w:r/>
            <w:r>
              <w:rPr>
                <w:b w:val="0"/>
                <w:sz w:val="18"/>
              </w:rPr>
              <w:t>TFT</w:t>
            </w:r>
          </w:p>
        </w:tc>
        <w:tc>
          <w:tcPr>
            <w:tcW w:type="dxa" w:w="1440"/>
          </w:tcPr>
          <w:p>
            <w:r/>
            <w:r>
              <w:rPr>
                <w:b w:val="0"/>
                <w:sz w:val="18"/>
              </w:rPr>
              <w:t>L=1+滞后增强</w:t>
            </w:r>
          </w:p>
        </w:tc>
        <w:tc>
          <w:tcPr>
            <w:tcW w:type="dxa" w:w="1440"/>
          </w:tcPr>
          <w:p>
            <w:r/>
            <w:r>
              <w:rPr>
                <w:b w:val="0"/>
                <w:sz w:val="18"/>
              </w:rPr>
              <w:t>Loop 50</w:t>
            </w:r>
          </w:p>
        </w:tc>
        <w:tc>
          <w:tcPr>
            <w:tcW w:type="dxa" w:w="1440"/>
          </w:tcPr>
          <w:p>
            <w:r/>
            <w:r>
              <w:rPr>
                <w:b w:val="0"/>
                <w:sz w:val="18"/>
              </w:rPr>
              <w:t>VS+SHAP双重</w:t>
            </w:r>
          </w:p>
        </w:tc>
        <w:tc>
          <w:tcPr>
            <w:tcW w:type="dxa" w:w="1440"/>
          </w:tcPr>
          <w:p>
            <w:r/>
            <w:r>
              <w:rPr>
                <w:b w:val="0"/>
                <w:sz w:val="18"/>
              </w:rPr>
              <w:t>有</w:t>
            </w:r>
          </w:p>
        </w:tc>
      </w:tr>
    </w:tbl>
    <w:p/>
    <w:p>
      <w:r>
        <w:br w:type="page"/>
      </w:r>
    </w:p>
    <w:p>
      <w:pPr>
        <w:pStyle w:val="Heading1"/>
      </w:pPr>
      <w:r>
        <w:t>3. 数据与预处理</w:t>
      </w:r>
    </w:p>
    <w:p>
      <w:pPr>
        <w:pStyle w:val="Heading2"/>
      </w:pPr>
      <w:r>
        <w:t>3.1 数据集描述</w:t>
      </w:r>
    </w:p>
    <w:p>
      <w:pPr/>
      <w:r>
        <w:t>本文采用IEEE PHM 2014 Data Challenge提供的质子交换膜燃料电池（PEMFC）退化数据集。该数据集记录了1kW级PEMFC电堆在两种不同运行条件下的长期耐久性测试过程，包含FC1（准静态工况）和FC2（电流纹波工况）两个子数据集。表2总结了数据集的主要特征。</w:t>
      </w:r>
    </w:p>
    <w:p>
      <w:pPr/>
      <w:r/>
      <w:r>
        <w:rPr>
          <w:b/>
        </w:rPr>
        <w:t>[此处插入表2: FC1与FC2数据集概况]</w:t>
      </w:r>
      <w:r/>
    </w:p>
    <w:p>
      <w:pPr/>
      <w:r/>
      <w:r>
        <w:rPr>
          <w:b/>
        </w:rPr>
        <w:t>表2 数据集概况</w:t>
      </w:r>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D9E2F3"/>
          </w:tcPr>
          <w:p>
            <w:r/>
            <w:r>
              <w:rPr>
                <w:b/>
                <w:sz w:val="18"/>
              </w:rPr>
              <w:t>特征</w:t>
            </w:r>
          </w:p>
        </w:tc>
        <w:tc>
          <w:tcPr>
            <w:tcW w:type="dxa" w:w="2880"/>
            <w:shd w:fill="D9E2F3"/>
          </w:tcPr>
          <w:p>
            <w:r/>
            <w:r>
              <w:rPr>
                <w:b/>
                <w:sz w:val="18"/>
              </w:rPr>
              <w:t>&lt;mark&gt;FC2（主实验）&lt;/mark&gt;</w:t>
            </w:r>
          </w:p>
        </w:tc>
        <w:tc>
          <w:tcPr>
            <w:tcW w:type="dxa" w:w="2880"/>
            <w:shd w:fill="D9E2F3"/>
          </w:tcPr>
          <w:p>
            <w:r/>
            <w:r>
              <w:rPr>
                <w:b/>
                <w:sz w:val="18"/>
              </w:rPr>
              <w:t>FC1（交叉验证）</w:t>
            </w:r>
          </w:p>
        </w:tc>
      </w:tr>
      <w:tr>
        <w:tc>
          <w:tcPr>
            <w:tcW w:type="dxa" w:w="2880"/>
          </w:tcPr>
          <w:p>
            <w:r/>
            <w:r>
              <w:rPr>
                <w:b w:val="0"/>
                <w:sz w:val="18"/>
              </w:rPr>
              <w:t>运行条件</w:t>
            </w:r>
          </w:p>
        </w:tc>
        <w:tc>
          <w:tcPr>
            <w:tcW w:type="dxa" w:w="2880"/>
            <w:shd w:fill="FFFF00"/>
          </w:tcPr>
          <w:p>
            <w:r/>
            <w:r>
              <w:rPr>
                <w:b w:val="0"/>
                <w:sz w:val="18"/>
              </w:rPr>
              <w:t>电流纹波</w:t>
            </w:r>
          </w:p>
        </w:tc>
        <w:tc>
          <w:tcPr>
            <w:tcW w:type="dxa" w:w="2880"/>
          </w:tcPr>
          <w:p>
            <w:r/>
            <w:r>
              <w:rPr>
                <w:b w:val="0"/>
                <w:sz w:val="18"/>
              </w:rPr>
              <w:t>准静态恒流</w:t>
            </w:r>
          </w:p>
        </w:tc>
      </w:tr>
      <w:tr>
        <w:tc>
          <w:tcPr>
            <w:tcW w:type="dxa" w:w="2880"/>
          </w:tcPr>
          <w:p>
            <w:r/>
            <w:r>
              <w:rPr>
                <w:b w:val="0"/>
                <w:sz w:val="18"/>
              </w:rPr>
              <w:t>原始采样间隔</w:t>
            </w:r>
          </w:p>
        </w:tc>
        <w:tc>
          <w:tcPr>
            <w:tcW w:type="dxa" w:w="2880"/>
          </w:tcPr>
          <w:p>
            <w:r/>
            <w:r>
              <w:rPr>
                <w:b w:val="0"/>
                <w:sz w:val="18"/>
              </w:rPr>
              <w:t>~30秒</w:t>
            </w:r>
          </w:p>
        </w:tc>
        <w:tc>
          <w:tcPr>
            <w:tcW w:type="dxa" w:w="2880"/>
          </w:tcPr>
          <w:p>
            <w:r/>
            <w:r>
              <w:rPr>
                <w:b w:val="0"/>
                <w:sz w:val="18"/>
              </w:rPr>
              <w:t>~30秒</w:t>
            </w:r>
          </w:p>
        </w:tc>
      </w:tr>
      <w:tr>
        <w:tc>
          <w:tcPr>
            <w:tcW w:type="dxa" w:w="2880"/>
          </w:tcPr>
          <w:p>
            <w:r/>
            <w:r>
              <w:rPr>
                <w:b w:val="0"/>
                <w:sz w:val="18"/>
              </w:rPr>
              <w:t>原始数据量</w:t>
            </w:r>
          </w:p>
        </w:tc>
        <w:tc>
          <w:tcPr>
            <w:tcW w:type="dxa" w:w="2880"/>
          </w:tcPr>
          <w:p>
            <w:r/>
            <w:r>
              <w:rPr>
                <w:b w:val="0"/>
                <w:sz w:val="18"/>
              </w:rPr>
              <w:t>127,370行</w:t>
            </w:r>
          </w:p>
        </w:tc>
        <w:tc>
          <w:tcPr>
            <w:tcW w:type="dxa" w:w="2880"/>
          </w:tcPr>
          <w:p>
            <w:r/>
            <w:r>
              <w:rPr>
                <w:b w:val="0"/>
                <w:sz w:val="18"/>
              </w:rPr>
              <w:t>143,862行</w:t>
            </w:r>
          </w:p>
        </w:tc>
      </w:tr>
      <w:tr>
        <w:tc>
          <w:tcPr>
            <w:tcW w:type="dxa" w:w="2880"/>
          </w:tcPr>
          <w:p>
            <w:r/>
            <w:r>
              <w:rPr>
                <w:b w:val="0"/>
                <w:sz w:val="18"/>
              </w:rPr>
              <w:t>运行时长</w:t>
            </w:r>
          </w:p>
        </w:tc>
        <w:tc>
          <w:tcPr>
            <w:tcW w:type="dxa" w:w="2880"/>
          </w:tcPr>
          <w:p>
            <w:r/>
            <w:r>
              <w:rPr>
                <w:b w:val="0"/>
                <w:sz w:val="18"/>
              </w:rPr>
              <w:t>0-1020.5小时</w:t>
            </w:r>
          </w:p>
        </w:tc>
        <w:tc>
          <w:tcPr>
            <w:tcW w:type="dxa" w:w="2880"/>
          </w:tcPr>
          <w:p>
            <w:r/>
            <w:r>
              <w:rPr>
                <w:b w:val="0"/>
                <w:sz w:val="18"/>
              </w:rPr>
              <w:t>0-1154.2小时</w:t>
            </w:r>
          </w:p>
        </w:tc>
      </w:tr>
      <w:tr>
        <w:tc>
          <w:tcPr>
            <w:tcW w:type="dxa" w:w="2880"/>
          </w:tcPr>
          <w:p>
            <w:r/>
            <w:r>
              <w:rPr>
                <w:b w:val="0"/>
                <w:sz w:val="18"/>
              </w:rPr>
              <w:t>传感器数量</w:t>
            </w:r>
          </w:p>
        </w:tc>
        <w:tc>
          <w:tcPr>
            <w:tcW w:type="dxa" w:w="2880"/>
          </w:tcPr>
          <w:p>
            <w:r/>
            <w:r>
              <w:rPr>
                <w:b w:val="0"/>
                <w:sz w:val="18"/>
              </w:rPr>
              <w:t>24个</w:t>
            </w:r>
          </w:p>
        </w:tc>
        <w:tc>
          <w:tcPr>
            <w:tcW w:type="dxa" w:w="2880"/>
          </w:tcPr>
          <w:p>
            <w:r/>
            <w:r>
              <w:rPr>
                <w:b w:val="0"/>
                <w:sz w:val="18"/>
              </w:rPr>
              <w:t>24个</w:t>
            </w:r>
          </w:p>
        </w:tc>
      </w:tr>
      <w:tr>
        <w:tc>
          <w:tcPr>
            <w:tcW w:type="dxa" w:w="2880"/>
          </w:tcPr>
          <w:p>
            <w:r/>
            <w:r>
              <w:rPr>
                <w:b w:val="0"/>
                <w:sz w:val="18"/>
              </w:rPr>
              <w:t>目标变量</w:t>
            </w:r>
          </w:p>
        </w:tc>
        <w:tc>
          <w:tcPr>
            <w:tcW w:type="dxa" w:w="2880"/>
          </w:tcPr>
          <w:p>
            <w:r/>
            <w:r>
              <w:rPr>
                <w:b w:val="0"/>
                <w:sz w:val="18"/>
              </w:rPr>
              <w:t>Utot (总电压)</w:t>
            </w:r>
          </w:p>
        </w:tc>
        <w:tc>
          <w:tcPr>
            <w:tcW w:type="dxa" w:w="2880"/>
          </w:tcPr>
          <w:p>
            <w:r/>
            <w:r>
              <w:rPr>
                <w:b w:val="0"/>
                <w:sz w:val="18"/>
              </w:rPr>
              <w:t>Utot (总电压)</w:t>
            </w:r>
          </w:p>
        </w:tc>
      </w:tr>
      <w:tr>
        <w:tc>
          <w:tcPr>
            <w:tcW w:type="dxa" w:w="2880"/>
          </w:tcPr>
          <w:p>
            <w:r/>
            <w:r>
              <w:rPr>
                <w:b w:val="0"/>
                <w:sz w:val="18"/>
              </w:rPr>
              <w:t>电压范围(原始)</w:t>
            </w:r>
          </w:p>
        </w:tc>
        <w:tc>
          <w:tcPr>
            <w:tcW w:type="dxa" w:w="2880"/>
          </w:tcPr>
          <w:p>
            <w:r/>
            <w:r>
              <w:rPr>
                <w:b w:val="0"/>
                <w:sz w:val="18"/>
              </w:rPr>
              <w:t>2.865-4.986V</w:t>
            </w:r>
          </w:p>
        </w:tc>
        <w:tc>
          <w:tcPr>
            <w:tcW w:type="dxa" w:w="2880"/>
          </w:tcPr>
          <w:p>
            <w:r/>
            <w:r>
              <w:rPr>
                <w:b w:val="0"/>
                <w:sz w:val="18"/>
              </w:rPr>
              <w:t>3.093-3.365V</w:t>
            </w:r>
          </w:p>
        </w:tc>
      </w:tr>
    </w:tbl>
    <w:p/>
    <w:p>
      <w:pPr/>
      <w:r>
        <w:t>每个采样时刻记录了24个传感器读数，可归纳为四类：(1)电压类——5片单体电压(U1-U5)和电堆总电压(Utot)，是退化状态的核心表征；(2)电流类——电流密度(J)和电流(I)，反映负载水平；(3)温度类——氢气、空气、冷却水的进出口温度(共8个)；(4)流量/压力类——氢气、空气、冷却水的进出口压力(共6个)和流量(共5个)。传感器全称为：</w:t>
      </w:r>
    </w:p>
    <w:p>
      <w:pPr/>
      <w:r>
        <w:t>U1(V), U2(V), U3(V), U4(V), U5(V), Utot(V), J(A/cm²), I(A), TinH2(°C), ToutH2(°C), TinAIR(°C), ToutAIR(°C), TinWAT(°C), ToutWAT(°C), PinAIR(mbara), PoutAIR(mbara), PoutH2(mbara), PinH2(mbara), DinH2(l/mn), DoutH2(l/mn), DinAIR(l/mn), DoutAIR(l/mn), DWAT(l/mn), HrAIRFC(%)。</w:t>
      </w:r>
    </w:p>
    <w:p>
      <w:pPr/>
      <w:r>
        <w:rPr>
          <w:highlight w:val="FFFF00"/>
        </w:rPr>
        <w:t>本文以FC2（电流纹波工况）为主实验数据集，FC1（准静态工况）为交叉验证数据集。</w:t>
      </w:r>
      <w:r>
        <w:rPr>
          <w:highlight w:val="FFFF00"/>
        </w:rPr>
        <w:t>本文以FC2（电流纹波工况）为主实验数据集，FC1（准静态工况）为交叉验证数据集。</w:t>
      </w:r>
      <w:r>
        <w:t>两种工况具有不同的退化特征。</w:t>
      </w:r>
      <w:r>
        <w:rPr>
          <w:highlight w:val="FFFF00"/>
        </w:rPr>
        <w:t>FC2为电流纹波条件——负载的周期性波动导致电压和各传感器读数出现动态变化，其传感器动态丰富度在可用数据集中最高，模拟了车用燃料电池负载动态变化的一个维度（电流纹波），因此被选为主要研究对象。需要注意的是，实际车用场景还包含频繁启停、热瞬态、怠速等FC2未覆盖的因素。</w:t>
      </w:r>
      <w:r>
        <w:rPr>
          <w:highlight w:val="FFFF00"/>
        </w:rPr>
        <w:t>FC2为电流纹波条件——负载的周期性波动导致电压和各传感器读数出现动态变化，其传感器动态丰富度在可用数据集中最高，模拟了车用燃料电池负载动态变化的一个维度（电流纹波），因此被选为主要研究对象。需要注意的是，实际车用场景还包含频繁启停、热瞬态、怠速等FC2未覆盖的因素。</w:t>
      </w:r>
      <w:r>
        <w:t>FC1为恒定电流负载下的准静态退化，电压随时间平滑下降，传感器读数变化</w:t>
      </w:r>
      <w:r>
        <w:rPr>
          <w:highlight w:val="92D050"/>
        </w:rPr>
        <w:t>非常</w:t>
      </w:r>
      <w:r>
        <w:rPr>
          <w:highlight w:val="92D050"/>
        </w:rPr>
        <w:t>非常</w:t>
      </w:r>
      <w:r>
        <w:t>平缓——在约1000小时测试中，Utot下降幅度仅为约5.6%（从3.364V降至3.186V）。</w:t>
      </w:r>
    </w:p>
    <w:p>
      <w:pPr/>
      <w:r>
        <w:rPr>
          <w:highlight w:val="92D050"/>
        </w:rPr>
        <w:t>需要说明的是</w:t>
      </w:r>
      <w:r>
        <w:rPr>
          <w:highlight w:val="92D050"/>
        </w:rPr>
        <w:t>需要说明的是</w:t>
      </w:r>
      <w:r>
        <w:t>，FC2原始数据中Utot范围异常(2.865-4.986V)，最小值低于电堆正常工作区——这是纹波负载下瞬时采集的奇异值，需通过滤波处理。</w:t>
      </w:r>
    </w:p>
    <w:p>
      <w:r>
        <w:rPr>
          <w:i/>
          <w:color w:val="808080"/>
          <w:sz w:val="20"/>
        </w:rPr>
        <w:t>[此处插入图1: 24传感器Spearman相关矩阵热力图 (spearman_heatmap.png)]</w:t>
      </w:r>
    </w:p>
    <w:p>
      <w:pPr/>
      <w:r>
        <w:t>传感器间的Spearman相关性分析（图1）表明，U1-U5单片电压与Utot高度正相关（|ρ|&gt;0.99），而流量/压力类传感器与Utot的相关性较弱（|ρ|&lt;0.5），说明部分辅助传感器与退化目标的线性关联有限，但可能含有非线性交互信息——这正是TFT Variable Selection发挥作用的空间。</w:t>
      </w:r>
    </w:p>
    <w:p>
      <w:pPr>
        <w:pStyle w:val="Heading2"/>
      </w:pPr>
      <w:r>
        <w:t>3.2 预处理流程</w:t>
      </w:r>
    </w:p>
    <w:p>
      <w:pPr/>
      <w:r>
        <w:t>本文设计了统一的五步预处理管线，如图2所示。</w:t>
      </w:r>
    </w:p>
    <w:p>
      <w:r>
        <w:rPr>
          <w:i/>
          <w:color w:val="808080"/>
          <w:sz w:val="20"/>
        </w:rPr>
        <w:t>[此处插入图2: 数据预处理流程图 (fig1_preprocessing_pipeline.png)]预处理目标是从高频原始数据中提取适合监督学习的结构化样本，同时保留退化过程中的时序信息。</w:t>
      </w:r>
    </w:p>
    <w:p>
      <w:pPr>
        <w:pStyle w:val="Heading3"/>
      </w:pPr>
      <w:r>
        <w:t>3.2.1 降采样</w:t>
      </w:r>
    </w:p>
    <w:p>
      <w:pPr/>
      <w:r>
        <w:t>原始数据采样间隔约30秒（~0.0083小时），在1000小时尺度上累计约12万-14万个时间点。然而，燃料电池的老化是缓慢过程——在数十分钟甚至数小时尺度上，退化量远低于传感器的测量噪声水平（±0.005V量级）。过密采样不仅增加计算负担，更导致相邻样本高度重复，模型难以学习到有效的退化梯度。</w:t>
      </w:r>
    </w:p>
    <w:p>
      <w:pPr/>
      <w:r>
        <w:t>本文采用1小时（整数小时）均匀降采样。具体操作为：将Time(h)取整后去重，保留每个整数小时的第一个采样点。降采样后FC1为1155个时间点，FC2为1021个时间点。</w:t>
      </w:r>
    </w:p>
    <w:p>
      <w:pPr>
        <w:pStyle w:val="Heading3"/>
      </w:pPr>
      <w:r>
        <w:t>3.2.2 Savitzky-Golay滤波</w:t>
      </w:r>
    </w:p>
    <w:p>
      <w:pPr/>
      <w:r>
        <w:t>PEMFC测试过程中存在传感器噪声、电磁干扰和瞬时工况波动。为保留退化趋势同时抑制高频噪声，本文采用Savitzky-Golay（SG）滤波。SG滤波通过在滑动窗口内拟合低阶多项式来平滑数据，相较于移动平均法，SG滤波在抑制噪声的同时更好地保留了退化曲线的斜率变化——这对捕获退化速率的阶段性转折至关重要。</w:t>
      </w:r>
    </w:p>
    <w:p>
      <w:pPr/>
      <w:r>
        <w:t>滤波参数设置为窗口长度21（约21小时）、多项式阶数2。对24个传感器分别进行滤波处理。经SG滤波后，FC2原始数据中的异常值得到有效抑制。</w:t>
      </w:r>
    </w:p>
    <w:p>
      <w:pPr>
        <w:pStyle w:val="Heading3"/>
      </w:pPr>
      <w:r>
        <w:t>3.2.3 特征选择</w:t>
      </w:r>
    </w:p>
    <w:p>
      <w:pPr/>
      <w:r>
        <w:t>本文使用全部24个传感器作为输入特征，不做人工筛选。这是基于以下考量：首先，TFT架构内置的Variable Selection机制可以自动学习各特征的差异化权重，人工预筛选反而可能遗漏关键信息。其次，PEMFC是一个强耦合的多物理场系统，温度、压力、流量等"辅助"传感器可能含有对预测有价值的信息——例如冷却水温度的变化可能预示电堆内阻的缓慢上升。因此，本文选择了"全特征输入+模型自适应加权"的策略，将特征选择权交给模型。</w:t>
      </w:r>
    </w:p>
    <w:p>
      <w:pPr>
        <w:pStyle w:val="Heading3"/>
      </w:pPr>
      <w:r>
        <w:t>3.2.4 L=1监督学习 + 多步滞后增强</w:t>
      </w:r>
    </w:p>
    <w:p>
      <w:pPr/>
      <w:r>
        <w:t>这是本文最关键的预处理设计。传统时序预测多采用滑动窗口方法——将连续L个时间点的数据作为输入序列，预测下一时刻的目标值。然而在PEMFC退化场景中，滑动窗口面临根本性困难：在1000小时的退化过程中，Utot的下降幅度仅约5.6%，平均每小时下降约0.00018V——远小于传感器的测量噪声(~±0.005V)。以常见的L=10窗口为例，10小时内电压变化约0.0018V，LSTM需要在噪声中学习到这个幅度——这在数学上等价于从信噪比&lt;1的信号中提取规律，极易导致模型学习发散。</w:t>
      </w:r>
    </w:p>
    <w:p>
      <w:pPr/>
      <w:r>
        <w:t>本文采用L=1监督学习：仅以单一时间步的传感器读数作为输入，使任务从"时序预测"退化为"状态映射"——给定当前时刻的传感器状态，预测当前时刻的电压。这一范式与大多数PEMFC退化预测文献保持一致，且避免了滑动窗口内信号被噪声稀释的问题。</w:t>
      </w:r>
    </w:p>
    <w:p>
      <w:pPr/>
      <w:r>
        <w:t>然而，L=1舍弃了所有时序上下文，模型无法感知退化历史。为在保留L=1范式的同时引入时序信息，本文提出多步滞后增强策略：对于原始时间点t，不仅构造样本(t→t)，还构造(t-1→t)、(t-2→t)、(t-4→t)，其中箭头左侧为输入传感器读数的时间点，右侧为预测目标的时间点。每条样本附加一个lag标记列(lag/10，取值0.1, 0.2, 0.4)，使模型能识别输入来自多远的过去。</w:t>
      </w:r>
    </w:p>
    <w:p>
      <w:pPr/>
      <w:r>
        <w:rPr>
          <w:highlight w:val="FFFF00"/>
        </w:rPr>
        <w:t>滞后步长的选择（lag=1,2,4）基于以下考量：lag=1（1小时前）提供最近的退化历史——在FC1准静态条件下，1小时内的电压变化已被噪声淹没，但仍能为LSTM的隐状态更新提供时序连续性；lag=2（2小时前）在数据扩展和信息冗余之间取得平衡——若仅使用lag=1，模型将从两个高度相似的样本（t和t-1）中学习，信息增益有限；lag=4（4小时前）引入足够长的时间距离，使传感器读数具有统计上可区分的差异——以FC2为例，4小时内纹波电流经历了8-16个完整周期，lag=4的样本在负载相位上与当前时刻统计独立，提供了真正多样化的训练视角。更远的滞后步长（如lag=8以上）存在递减收益——时间距离过大时，退化趋势本身的变化开始主导传感器差异，模型需要学习的"传感器→电压"映射因退化偏移而产生系统性偏差。lag=1,2,4的组合在"时间距离的多样性"和"退化趋势的稳定性"之间取得折中。</w:t>
      </w:r>
      <w:r>
        <w:rPr>
          <w:highlight w:val="FFFF00"/>
        </w:rPr>
        <w:t>滞后步长的选择（lag=1,2,4）基于以下考量：lag=1（1小时前）提供最近的退化历史——在FC1准静态条件下，1小时内的电压变化已被噪声淹没，但仍能为LSTM的隐状态更新提供时序连续性；lag=2（2小时前）在数据扩展和信息冗余之间取得平衡——若仅使用lag=1，模型将从两个高度相似的样本（t和t-1）中学习，信息增益有限；lag=4（4小时前）引入足够长的时间距离，使传感器读数具有统计上可区分的差异——以FC2为例，4小时内纹波电流经历了8-16个完整周期，lag=4的样本在负载相位上与当前时刻统计独立，提供了真正多样化的训练视角。更远的滞后步长（如lag=8以上）存在递减收益——时间距离过大时，退化趋势本身的变化开始主导传感器差异，模型需要学习的"传感器→电压"映射因退化偏移而产生系统性偏差。lag=1,2,4的组合在"时间距离的多样性"和"退化趋势的稳定性"之间取得折中。</w:t>
      </w:r>
    </w:p>
    <w:p>
      <w:pPr/>
      <w:r>
        <w:t>滞后增强带来三重收益：(1)数据量×3——从1151样本扩充至3453样本（FC1），有效缓解了单电堆数据量不足的问题；(2)多时间视角——同一目标电压对应三个不同滞后步长的输入，模型学会从不同时间距离推断电压，增强了对退化动态的理解；(3)兼容L=1回归范式——不需要改变模型输入维度，所有现有回归模型均可直接适配。</w:t>
      </w:r>
    </w:p>
    <w:p>
      <w:pPr>
        <w:pStyle w:val="Heading3"/>
      </w:pPr>
      <w:r>
        <w:t>3.2.5 时序划分与归一化</w:t>
      </w:r>
    </w:p>
    <w:p>
      <w:pPr/>
      <w:r>
        <w:t>本文采用50/10/40的时序划分策略：前50%作为训练集，中间10%作为验证集（用于早停和超参选择），最后40%作为测试集。划分在时序维度上进行——训练集包含退化早期数据，测试集包含退化中后期数据——这模拟了实际部署中"基于历史数据训练，预测未来退化"的应用场景。</w:t>
      </w:r>
    </w:p>
    <w:p>
      <w:pPr/>
      <w:r>
        <w:rPr>
          <w:highlight w:val="92D050"/>
        </w:rPr>
        <w:t>需要说明的是</w:t>
      </w:r>
      <w:r>
        <w:rPr>
          <w:highlight w:val="92D050"/>
        </w:rPr>
        <w:t>需要说明的是</w:t>
      </w:r>
      <w:r>
        <w:t>，滞后增强后的三个副本各自独立进行时序划分，然后分别合并到训练/验证/测试集中。这保证了同一原始时间点的三个lag副本不会被分散到不同集合中，避免了数据泄漏。</w:t>
      </w:r>
    </w:p>
    <w:p>
      <w:pPr/>
      <w:r>
        <w:t>最后，采用MinMaxScaler将X和y分别归一化到[0,1]区间。选择MinMax归一化而非Z-score标准化的原因是：24个传感器的量纲和取值范围差异极大（电压~3V，温度~50°C，流量~20 l/mn），Z-score归一化会导致大数值传感器主导梯度。MinMax将所有特征统一到相同区间，使Variable Selection的初始权重处于公平竞争状态。</w:t>
      </w:r>
    </w:p>
    <w:p>
      <w:pPr>
        <w:pStyle w:val="Heading2"/>
      </w:pPr>
      <w:r>
        <w:t>3.3 失效阈值定义</w:t>
      </w:r>
    </w:p>
    <w:p>
      <w:pPr/>
      <w:r>
        <w:t>依据相关文献[Jouin et al., IEEE TTE, 2016]，本文定义失效阈值为训练集初始电压的96%：</w:t>
      </w:r>
    </w:p>
    <w:p>
      <w:r>
        <w:br w:type="page"/>
      </w:r>
    </w:p>
    <w:p>
      <w:pPr>
        <w:pStyle w:val="Heading1"/>
      </w:pPr>
      <w:r>
        <w:t>4. 方法</w:t>
      </w:r>
    </w:p>
    <w:p>
      <w:pPr>
        <w:pStyle w:val="Heading2"/>
      </w:pPr>
      <w:r>
        <w:t>4.1 问题形式化</w:t>
      </w:r>
    </w:p>
    <w:p>
      <w:pPr/>
      <w:r>
        <w:t>给定时刻$t$的PEMFC传感器读数向量$\mathbf{x}_t \in \mathbb{R}^{24}$，目标是预测该时刻的电堆总电压$\hat{y}_t$。在L=1监督学习框架下,模型输入为单一时间步的特征向量（含多步滞后增强中的lag标记列），输出为对应时刻的电压预测值：</w:t>
      </w:r>
    </w:p>
    <w:p>
      <w:pPr>
        <w:jc w:val="center"/>
      </w:pPr>
      <w:r>
        <w:rPr>
          <w:i/>
          <w:sz w:val="22"/>
        </w:rPr>
        <w:br/>
        <w:t>其中$\tau$为滞后步长，$\mathbf{x}_{t-\tau}$为$\tau$小时前的传感器数据（特征维度25 = 24传感器 + 1 lag标记）。预测值与真实值$y_t$之间的均方误差(MSE)作为优化目标：</w:t>
        <w:br/>
      </w:r>
    </w:p>
    <w:p>
      <w:pPr>
        <w:pStyle w:val="Heading2"/>
      </w:pPr>
      <w:r>
        <w:t>4.2 TFT模型架构</w:t>
      </w:r>
    </w:p>
    <w:p>
      <w:pPr/>
      <w:r>
        <w:t>本文采用时序融合Transformer（Temporal Fusion Transformer, TFT）作为基础架构。TFT由Lim等人于2021年提出，最初用于多步时序预测任务，在零售、电力负荷等领域</w:t>
      </w:r>
      <w:r>
        <w:rPr>
          <w:highlight w:val="92D050"/>
        </w:rPr>
        <w:t>表现出良好的</w:t>
      </w:r>
      <w:r>
        <w:rPr>
          <w:highlight w:val="92D050"/>
        </w:rPr>
        <w:t>表现出良好的</w:t>
      </w:r>
      <w:r>
        <w:t>可解释性和鲁棒性。本文将其适配至PEMFC退化预测的单时间步回归场景。</w:t>
      </w:r>
    </w:p>
    <w:p>
      <w:pPr/>
      <w:r>
        <w:t>图3展示了完整的TFT架构。</w:t>
      </w:r>
    </w:p>
    <w:p>
      <w:r>
        <w:rPr>
          <w:i/>
          <w:color w:val="808080"/>
          <w:sz w:val="20"/>
        </w:rPr>
        <w:t>[此处插入图3: TFT模型架构图 (fig3_tft_architecture.png)]数据流经过四个核心组件：Variable Selection（变量选择）、LSTM编码器（时序编码）、GRN门控残差网络（自适应滤波）和MultiheadAttention（多头自注意力）。每个组件在PEMFC退化预测中承担不同的功能角色。</w:t>
      </w:r>
    </w:p>
    <w:p>
      <w:pPr>
        <w:pStyle w:val="Heading3"/>
      </w:pPr>
      <w:r>
        <w:t>4.2.1 Variable Selection（变量选择）</w:t>
      </w:r>
    </w:p>
    <w:p>
      <w:pPr/>
      <w:r>
        <w:t>PEMFC电堆包含24个传感器，其中单电池电压(U1-U5)和总电压(Utot)是退化监测的核心指标，而温度、压力、流量等辅助传感器对预测的贡献可能因工况而异。TFT通过可学习的变量选择权重，自动为每个传感器分配差异化的重要性：</w:t>
      </w:r>
    </w:p>
    <w:p>
      <w:pPr>
        <w:jc w:val="center"/>
      </w:pPr>
      <w:r>
        <w:rPr>
          <w:i/>
          <w:sz w:val="22"/>
        </w:rPr>
      </w:r>
    </w:p>
    <w:p>
      <w:pPr/>
      <w:r>
        <w:t>其中$\boldsymbol{\alpha} \in \mathbb{R}^{25}$为可学习权重，$\boldsymbol{\beta} \in \mathbb{R}^{25}$为可学习偏置，$\sigma(\cdot)$为sigmoid函数，$\odot$表示逐元素乘法。$\boldsymbol{\epsilon} \sim \mathcal{N}(0, 0.01^2)$为训练时注入的高斯噪声（1%标准差），作为正则化手段防止模型对特定传感器的过度依赖。</w:t>
      </w:r>
    </w:p>
    <w:p>
      <w:pPr/>
      <w:r>
        <w:t>训练完成后，权重向量$\mathbf{w}$直接反映了各传感器对预测的重要性——权重接近1的特征被模型视为核心信息源，接近0的特征被自主抑制。这为模型提供了静态可解释性：无需额外的特征选择步骤，训练结束即可获得传感器重要性排序。</w:t>
      </w:r>
    </w:p>
    <w:p>
      <w:pPr>
        <w:pStyle w:val="Heading3"/>
      </w:pPr>
      <w:r>
        <w:t>4.2.2 LSTM编码器</w:t>
      </w:r>
    </w:p>
    <w:p>
      <w:pPr/>
      <w:r>
        <w:t>加权后的特征向量进入LSTM层进行时序编码。LSTM通过遗忘门、输入门和输出门三个门控机制，在隐状态中累积长期退化信息：</w:t>
      </w:r>
    </w:p>
    <w:p>
      <w:pPr>
        <w:jc w:val="center"/>
      </w:pPr>
      <w:r>
        <w:rPr>
          <w:i/>
          <w:sz w:val="22"/>
        </w:rPr>
      </w:r>
    </w:p>
    <w:p>
      <w:pPr>
        <w:jc w:val="center"/>
      </w:pPr>
      <w:r>
        <w:rPr>
          <w:i/>
          <w:sz w:val="22"/>
        </w:rPr>
      </w:r>
    </w:p>
    <w:p>
      <w:pPr>
        <w:jc w:val="center"/>
      </w:pPr>
      <w:r>
        <w:rPr>
          <w:i/>
          <w:sz w:val="22"/>
        </w:rPr>
        <w:br/>
        <w:t>虽然输入时间步L=1，LSTM无法在时间维度上展开，但其门控机制仍具有两个关键作用：(1)在batch维度上，由于训练时shuffle=False，batch内样本按时序排列，LSTM的隐状态$\mathbf{h}_t$在batch方向上传递退化的历史信息；(2)LSTM的遗忘门和输入门在隐空间维度上对特征进行选择性记忆，为后续GRN的滤波提供了结构化的特征表示。</w:t>
        <w:br/>
        <w:br/>
        <w:t>LSTM隐藏层大小设置为&lt;mark&gt;96&lt;/mark&gt;，层数为1层。采用PyTorch默认的tanh激活函数，dropout在单层情况下不启用。</w:t>
        <w:br/>
        <w:br/>
        <w:t>### 4.2.3 GRN门控残差网络</w:t>
        <w:br/>
        <w:br/>
        <w:t>GRN（Gated Residual Network）是TFT中连接LSTM和Attention的关键中间层。它通过门控机制对LSTM的隐状态输出进行自适应滤波，抑制与预测无关的隐状态维度：</w:t>
        <w:br/>
      </w:r>
    </w:p>
    <w:p>
      <w:pPr>
        <w:jc w:val="center"/>
      </w:pPr>
      <w:r>
        <w:rPr>
          <w:i/>
          <w:sz w:val="22"/>
        </w:rPr>
      </w:r>
    </w:p>
    <w:p>
      <w:pPr>
        <w:jc w:val="center"/>
      </w:pPr>
      <w:r>
        <w:rPr>
          <w:i/>
          <w:sz w:val="22"/>
        </w:rPr>
        <w:br/>
        <w:t>其中$\mathbf{W}_p$为残差投影矩阵（当输入输出维度相同时退化为恒等映射），$\mathbf{W}_1, \mathbf{W}_2, \mathbf{W}_g$为可学习权重，$\mathbf{g} \in (0,1)$为门控向量。门控机制赋予GRN选择性传递信息的能力：当门控值接近1时，对应的隐状态维度完整通过；接近0时，该维度被近乎完全抑制。</w:t>
        <w:br/>
        <w:br/>
        <w:t>在PEMFC退化预测中，GRN的作用&lt;AI&gt;很关键&lt;/AI&gt;。LSTM隐状态可能编码了多种信息——真实的退化趋势、温度波动引起的可逆电压变化、传感器噪声等。GRN的门控机制自主识别并放大退化相关的隐状态维度，同时压制噪声和波动维度的信息传递。这一设计直接贡献于TFT的训练稳定性——&lt;mark&gt;在FC1上，TFT的Min R²（0.79）远高于纯LSTM（-2.21）；在FC2上，TFT的Min R²（0.89）同样显著优于LSTM（0.83）——&lt;/mark&gt;GRN是方差缩减的关键因素（见第5章消融分析）。</w:t>
        <w:br/>
        <w:br/>
        <w:t>GRN的内部隐藏维度设置为128（dim_feedforward参数），dropout率为&lt;mark&gt;0.10&lt;/mark&gt;。</w:t>
        <w:br/>
        <w:br/>
        <w:t>### 4.2.4 MultiheadAttention（多头自注意力）</w:t>
        <w:br/>
        <w:br/>
        <w:t>经过GRN滤波后的特征进入多头自注意力层。自注意力机制在特征维度上捕获跨传感器的交互模式：</w:t>
        <w:br/>
      </w:r>
    </w:p>
    <w:p>
      <w:pPr>
        <w:jc w:val="center"/>
      </w:pPr>
      <w:r>
        <w:rPr>
          <w:i/>
          <w:sz w:val="22"/>
        </w:rPr>
      </w:r>
    </w:p>
    <w:p>
      <w:pPr/>
      <w:r>
        <w:t xml:space="preserve">采用4个注意力头（nhead=4），每个头的维度$d_k = d_{model}/nhead = </w:t>
      </w:r>
      <w:r>
        <w:rPr>
          <w:highlight w:val="FFFF00"/>
        </w:rPr>
        <w:t>24</w:t>
      </w:r>
      <w:r>
        <w:rPr>
          <w:highlight w:val="FFFF00"/>
        </w:rPr>
        <w:t>24</w:t>
      </w:r>
      <w:r>
        <w:t>$（hidden_size=</w:t>
      </w:r>
      <w:r>
        <w:rPr>
          <w:highlight w:val="FFFF00"/>
        </w:rPr>
        <w:t>96</w:t>
      </w:r>
      <w:r>
        <w:rPr>
          <w:highlight w:val="FFFF00"/>
        </w:rPr>
        <w:t>96</w:t>
      </w:r>
      <w:r>
        <w:t>）。自注意力后接残差连接和LayerNorm：</w:t>
      </w:r>
    </w:p>
    <w:p>
      <w:pPr>
        <w:jc w:val="center"/>
      </w:pPr>
      <w:r>
        <w:rPr>
          <w:i/>
          <w:sz w:val="22"/>
        </w:rPr>
        <w:br/>
        <w:t>在L=1条件下，自注意力在特征维度而非时间维度上操作——它捕获的是"U1和U2是否同步下降""TinH2升高是否伴随Utot降低"等跨传感器的退化模式。这种"单时间步的全局特征交互"是对LSTM时序编码的补充：LSTM提供了逐传感器的时间演化信息，Attention在此基础上建模传感器之间的退化一致性。</w:t>
        <w:br/>
        <w:br/>
        <w:t>### 4.2.5 输出层</w:t>
        <w:br/>
        <w:br/>
        <w:t>经过以上四个组件处理后，取注意力输出层的最后时间步（L=1下即为唯一时间步），通过全连接层输出最终预测值：</w:t>
        <w:br/>
      </w:r>
    </w:p>
    <w:p>
      <w:pPr>
        <w:pStyle w:val="Heading2"/>
      </w:pPr>
      <w:r>
        <w:t>4.3 训练策略</w:t>
      </w:r>
    </w:p>
    <w:p>
      <w:pPr>
        <w:pStyle w:val="Heading3"/>
      </w:pPr>
      <w:r>
        <w:t>4.3.1 优化器与学习率调度</w:t>
      </w:r>
    </w:p>
    <w:p>
      <w:pPr/>
      <w:r>
        <w:t>本文采用</w:t>
      </w:r>
      <w:r>
        <w:rPr>
          <w:highlight w:val="FFFF00"/>
        </w:rPr>
        <w:t>Adam</w:t>
      </w:r>
      <w:r>
        <w:rPr>
          <w:highlight w:val="FFFF00"/>
        </w:rPr>
        <w:t>Adam</w:t>
      </w:r>
      <w:r>
        <w:t>优化器，参数设置为：学习率</w:t>
      </w:r>
      <w:r>
        <w:rPr>
          <w:highlight w:val="FFFF00"/>
        </w:rPr>
        <w:t>$3\times10^{-4}$</w:t>
      </w:r>
      <w:r>
        <w:rPr>
          <w:highlight w:val="FFFF00"/>
        </w:rPr>
        <w:t>$3\times10^{-4}$</w:t>
      </w:r>
      <w:r>
        <w:t>，权重衰减</w:t>
      </w:r>
      <w:r>
        <w:rPr>
          <w:highlight w:val="FFFF00"/>
        </w:rPr>
        <w:t>$1\times10^{-5}$</w:t>
      </w:r>
      <w:r>
        <w:rPr>
          <w:highlight w:val="FFFF00"/>
        </w:rPr>
        <w:t>$1\times10^{-5}$</w:t>
      </w:r>
      <w:r>
        <w:t>，$\beta_1=0.9, \beta_2=0.999$。</w:t>
      </w:r>
      <w:r>
        <w:rPr>
          <w:highlight w:val="FFFF00"/>
        </w:rPr>
        <w:t>配合ReduceLROnPlateau学习率调度（patience=20, factor=0.5）。</w:t>
      </w:r>
      <w:r>
        <w:rPr>
          <w:highlight w:val="FFFF00"/>
        </w:rPr>
        <w:t>配合ReduceLROnPlateau学习率调度（patience=20, factor=0.5）。</w:t>
      </w:r>
    </w:p>
    <w:p>
      <w:pPr/>
      <w:r>
        <w:t>学习率调度采用ReduceLROnPlateau策略：当验证损失在连续</w:t>
      </w:r>
      <w:r>
        <w:rPr>
          <w:highlight w:val="FFFF00"/>
        </w:rPr>
        <w:t>20</w:t>
      </w:r>
      <w:r>
        <w:rPr>
          <w:highlight w:val="FFFF00"/>
        </w:rPr>
        <w:t>20</w:t>
      </w:r>
      <w:r>
        <w:t>个epoch内未创新低时，学习率减半。初始学习率</w:t>
      </w:r>
      <w:r>
        <w:rPr>
          <w:highlight w:val="FFFF00"/>
        </w:rPr>
        <w:t>$3\times10^{-4}$</w:t>
      </w:r>
      <w:r>
        <w:rPr>
          <w:highlight w:val="FFFF00"/>
        </w:rPr>
        <w:t>$3\times10^{-4}$</w:t>
      </w:r>
      <w:r>
        <w:t>对应最多4次减半（降至约$1.9\times10^{-5}$）。</w:t>
      </w:r>
    </w:p>
    <w:p>
      <w:pPr/>
      <w:r>
        <w:t>同时启用梯度裁剪（max_norm=0.5），防止LSTM在长序列上的梯度爆炸。</w:t>
      </w:r>
    </w:p>
    <w:p>
      <w:pPr>
        <w:pStyle w:val="Heading3"/>
      </w:pPr>
      <w:r>
        <w:t>4.3.2 随机权重平均（SWA）</w:t>
      </w:r>
    </w:p>
    <w:p>
      <w:pPr/>
      <w:r>
        <w:t>本文采用随机权重平均（Stochastic Weight Averaging）以提升模型的泛化性能。SWA在训练后期（epoch 40起）收集模型参数的指数移动平均，训练结束后以平均权重替代最终权重进行评估。SWA的核心优势在于将优化路径上多个局部最优解进行平均，得到的解通常具有更宽的损失盆地（wider minima）和更低的泛化误差。</w:t>
      </w:r>
    </w:p>
    <w:p>
      <w:pPr>
        <w:jc w:val="center"/>
      </w:pPr>
      <w:r>
        <w:rPr>
          <w:i/>
          <w:sz w:val="22"/>
        </w:rPr>
        <w:br/>
        <w:t>### 4.3.3 早停与最大训练轮数</w:t>
        <w:br/>
        <w:br/>
        <w:t>最大训练轮数设为&lt;mark&gt;500&lt;/mark&gt;。早停机制监控验证损失，patience设为&lt;mark&gt;100&lt;/mark&gt;个epoch。在FC1和FC2上，训练通常在100-270个epoch内触发早停。</w:t>
        <w:br/>
        <w:br/>
        <w:t>### 4.3.4 配置参数汇总</w:t>
        <w:br/>
        <w:br/>
        <w:t>**[此处插入表3: TFT训练超参数配置]**</w:t>
        <w:br/>
        <w:br/>
        <w:t>| 参数 | 值 |</w:t>
        <w:br/>
        <w:t>|------|-----|</w:t>
        <w:br/>
        <w:t>| LSTM隐藏层大小 | &lt;mark&gt;96&lt;/mark&gt; |</w:t>
        <w:br/>
        <w:t>| LSTM层数 | 1 |</w:t>
        <w:br/>
        <w:t>| GRN内部维度 | 128 |</w:t>
        <w:br/>
        <w:t>| 自注意力头数 | 4 |</w:t>
        <w:br/>
        <w:t>| Dropout | &lt;mark&gt;0.10&lt;/mark&gt; |</w:t>
        <w:br/>
        <w:t>| 学习率 | &lt;mark&gt;3×10⁻⁴&lt;/mark&gt; |</w:t>
        <w:br/>
        <w:t>| 优化器 | Adam |</w:t>
        <w:br/>
        <w:t>| 权重衰减 | 1×10⁻⁵ |</w:t>
        <w:br/>
        <w:t>| Batch大小 | &lt;mark&gt;64&lt;/mark&gt; |</w:t>
        <w:br/>
        <w:t>| 最大Epochs | &lt;mark&gt;500&lt;/mark&gt; |</w:t>
        <w:br/>
        <w:t>| Early Stopping Patience | &lt;mark&gt;100&lt;/mark&gt; |</w:t>
        <w:br/>
        <w:t>| ReduceLROnPlateau Patience | 20 |</w:t>
        <w:br/>
        <w:t>| SWA起始Epoch | 40 |</w:t>
        <w:br/>
        <w:t>| 梯度裁剪 | 0.5 |</w:t>
        <w:br/>
        <w:t>| 输入噪声 | 1% |</w:t>
        <w:br/>
        <w:br/>
        <w:t>## 4.4 评估协议</w:t>
        <w:br/>
        <w:br/>
        <w:t>### 4.4.1 Loop 50重复实验</w:t>
        <w:br/>
        <w:br/>
        <w:t>由于深度学习模型对初始权重敏感，单次训练的结果具有随机性。本文采用"Loop 50"评估协议：使用50个不同的随机种子独立训练同一模型架构，报告R²的最小值(Min)、均值(Mean)和最大值(Max)。这一协议不仅展示了模型的最佳表现（Max R²），还通过Min R²评估了训练的稳定性和可复现性——这在工程实践中尤为重要。</w:t>
        <w:br/>
        <w:br/>
        <w:t>### 4.4.2 Top-5集成</w:t>
        <w:br/>
        <w:br/>
        <w:t>取50次训练中验证集R²最高的5个模型，对其在测试集上的预测结果取算数平均：</w:t>
        <w:br/>
      </w:r>
    </w:p>
    <w:p>
      <w:pPr/>
      <w:r>
        <w:t>其中$\hat{y}_{(i)}$为验证集R²排名第$i$的模型的预测值。集成学习被广泛证明可以降低预测方差、提升鲁棒性，且不改变模型架构或训练流程。</w:t>
      </w:r>
    </w:p>
    <w:p>
      <w:pPr>
        <w:pStyle w:val="Heading3"/>
      </w:pPr>
      <w:r>
        <w:t>4.4.3 评价指标</w:t>
      </w:r>
    </w:p>
    <w:p>
      <w:pPr/>
      <w:r>
        <w:t>本文采用四个指标评价预测性能：</w:t>
      </w:r>
    </w:p>
    <w:p>
      <w:pPr/>
      <w:r/>
      <w:r>
        <w:rPr>
          <w:b/>
        </w:rPr>
        <w:t>决定系数(R²)</w:t>
      </w:r>
      <w:r>
        <w:t>：</w:t>
      </w:r>
    </w:p>
    <w:p>
      <w:pPr>
        <w:jc w:val="center"/>
      </w:pPr>
      <w:r>
        <w:rPr>
          <w:i/>
          <w:sz w:val="22"/>
        </w:rPr>
        <w:br/>
        <w:t>**均方根误差(RMSE, V)**：</w:t>
      </w:r>
    </w:p>
    <w:p>
      <w:pPr/>
      <w:r/>
      <w:r>
        <w:rPr>
          <w:b/>
        </w:rPr>
        <w:t>平均绝对误差(MAE, V)</w:t>
      </w:r>
      <w:r>
        <w:t>：</w:t>
      </w:r>
    </w:p>
    <w:p>
      <w:pPr>
        <w:jc w:val="center"/>
      </w:pPr>
      <w:r>
        <w:rPr>
          <w:i/>
          <w:sz w:val="22"/>
        </w:rPr>
        <w:br/>
        <w:t>**平均绝对百分比误差(MAPE, %)**：</w:t>
      </w:r>
    </w:p>
    <w:p>
      <w:pPr/>
      <w:r>
        <w:t>此外，对于RUL预测任务，报告RUL预测的绝对误差和相对误差。</w:t>
      </w:r>
    </w:p>
    <w:p>
      <w:pPr>
        <w:pStyle w:val="Heading2"/>
      </w:pPr>
      <w:r>
        <w:t>4.5 对照模型</w:t>
      </w:r>
    </w:p>
    <w:p>
      <w:pPr/>
      <w:r>
        <w:t>为验证TFT各组件的贡献，本文设置了以下对照模型进行消融实验（均采用与TFT相同的训练超参数和Loop 50评估协议）：</w:t>
      </w:r>
    </w:p>
    <w:p>
      <w:pPr/>
      <w:r/>
      <w:r>
        <w:rPr>
          <w:b/>
        </w:rPr>
        <w:t>DLinear</w:t>
      </w:r>
      <w:r>
        <w:t xml:space="preserve"> (AAAI 2023): 时序分解+线性映射。通过移动平均将输入序列分解为趋势和残差，分别用线性层预测后求和。在L=1条件下退化平均退化为恒等映射，本质为纯线性回归。代表"无时序、无非线性"的下界。</w:t>
      </w:r>
    </w:p>
    <w:p>
      <w:pPr/>
      <w:r/>
      <w:r>
        <w:rPr>
          <w:b/>
        </w:rPr>
        <w:t>ResMLP</w:t>
      </w:r>
      <w:r>
        <w:t>: 残差MLP回归模型。由两层全连接网络+残差连接+LayerNorm组成，代表"非线性但无时序记忆"的基准。</w:t>
      </w:r>
    </w:p>
    <w:p>
      <w:pPr/>
      <w:r/>
      <w:r>
        <w:rPr>
          <w:b/>
        </w:rPr>
        <w:t>LSTMBaseline</w:t>
      </w:r>
      <w:r>
        <w:t>: 标准单层LSTM+全连接输出，无Variable Selection、无GRN、无Attention。代表经典时序模型的基准。</w:t>
      </w:r>
    </w:p>
    <w:p>
      <w:pPr/>
      <w:r/>
      <w:r>
        <w:rPr>
          <w:b/>
        </w:rPr>
        <w:t>TSMixer</w:t>
      </w:r>
      <w:r>
        <w:t xml:space="preserve"> (KDD 2023): 全MLP时序预测模型。通过堆叠的特征混合MLP块+残差连接进行预测，不使用LSTM和Attention。代表2023年最新的"无循环"时序预测方法。</w:t>
      </w:r>
    </w:p>
    <w:p>
      <w:pPr/>
      <w:r/>
      <w:r>
        <w:rPr>
          <w:b/>
        </w:rPr>
        <w:t>TFT（本文）</w:t>
      </w:r>
      <w:r>
        <w:t>: 完整四个组件：VS + LSTM + GRN + MultiheadAttention。</w:t>
      </w:r>
    </w:p>
    <w:p>
      <w:pPr/>
      <w:r>
        <w:rPr>
          <w:highlight w:val="FFFF00"/>
        </w:rPr>
        <w:t>在RTX 3070 Laptop GPU（8GB显存）、batch size=64配置下，TFT单次训练（500 epochs上限，通常在100-270 epoch触发早停）耗时约3-5分钟。50次独立训练（Loop 50）的总耗时约2.5-4小时。单次推理（前向传播）延迟约0.3ms——在1Hz传感器采集频率下，推理开销可忽略不计。</w:t>
      </w:r>
      <w:r>
        <w:rPr>
          <w:highlight w:val="FFFF00"/>
        </w:rPr>
        <w:t>在RTX 3070 Laptop GPU（8GB显存）、batch size=64配置下，TFT单次训练（500 epochs上限，通常在100-270 epoch触发早停）耗时约3-5分钟。50次独立训练（Loop 50）的总耗时约2.5-4小时。单次推理（前向传播）延迟约0.3ms——在1Hz传感器采集频率下，推理开销可忽略不计。</w:t>
      </w:r>
    </w:p>
    <w:p>
      <w:pPr/>
      <w:r>
        <w:t>对照模型的选择逻辑是递进的：DLinear验证"是否需要非线性"→ResMLP验证"是否需要时序记忆"→LSTM验证"是否需要门控和注意力"→TSMixer验证"是否需要循环网络"→TFT验证"四个组件同时工作的综合效果"。</w:t>
      </w:r>
    </w:p>
    <w:p>
      <w:pPr/>
      <w:r>
        <w:rPr>
          <w:highlight w:val="FFFF00"/>
        </w:rPr>
        <w:t>本文的实验代码和预处理脚本已在GitHub开源：https://github.com/[username]/PEMFC-TFT（将在论文接收后公开；审稿期间可通过匿名链接获取）</w:t>
      </w:r>
      <w:r>
        <w:rPr>
          <w:highlight w:val="FFFF00"/>
        </w:rPr>
        <w:t>本文的实验代码和预处理脚本已在GitHub开源：https://github.com/[username]/PEMFC-TFT（将在论文接收后公开；审稿期间可通过匿名链接获取）</w:t>
      </w:r>
    </w:p>
    <w:p>
      <w:r>
        <w:br w:type="page"/>
      </w:r>
    </w:p>
    <w:p>
      <w:pPr/>
      <w:r>
        <w:t>﻿# 5. 实验与结果</w:t>
      </w:r>
    </w:p>
    <w:p>
      <w:pPr>
        <w:pStyle w:val="Heading2"/>
      </w:pPr>
      <w:r>
        <w:t>5.1 实验设置</w:t>
      </w:r>
    </w:p>
    <w:p>
      <w:pPr/>
      <w:r>
        <w:t>全部实验在配备NVIDIA GeForce RTX 3070 Laptop GPU（8GB显存）的Windows平台上完成。深度学习框架采用PyTorch 2.6.0，CUDA 12.4。</w:t>
      </w:r>
      <w:r>
        <w:rPr>
          <w:highlight w:val="FFFF00"/>
        </w:rPr>
        <w:t>本文以FC2（电流纹波工况）为主实验工况，FC1（准静态工况）为交叉验证工况——这一设计基于以下考量：FC2的纹波负载模拟了车用燃料电池负载动态变化的一个维度（电流纹波），其传感器动态丰富度为数据驱动模型提供了高信息密度的训练样本。需要指出，实际车用场景还包含频繁启停、热瞬态、怠速等FC2未覆盖的因素，本文的"纹波≈车用"类比仅针对"电流纹波"这一单一维度。</w:t>
      </w:r>
      <w:r>
        <w:rPr>
          <w:highlight w:val="FFFF00"/>
        </w:rPr>
        <w:t>本文以FC2（电流纹波工况）为主实验工况，FC1（准静态工况）为交叉验证工况——这一设计基于以下考量：FC2的纹波负载模拟了车用燃料电池负载动态变化的一个维度（电流纹波），其传感器动态丰富度为数据驱动模型提供了高信息密度的训练样本。需要指出，实际车用场景还包含频繁启停、热瞬态、怠速等FC2未覆盖的因素，本文的"纹波≈车用"类比仅针对"电流纹波"这一单一维度。</w:t>
      </w:r>
      <w:r>
        <w:t>所有模型采用统一的超参数配置（见表3），训练时启用CUDA确定性模式（`torch.backends.cudnn.deterministic = True`）以保证实验的可复现性。</w:t>
      </w:r>
    </w:p>
    <w:p>
      <w:pPr/>
      <w:r>
        <w:rPr>
          <w:highlight w:val="FFFF00"/>
        </w:rPr>
        <w:t>FC2实验采用0.5小时降采样（纹波工况最优），FC1实验采用1小时降采样（准静态工况最优）。</w:t>
      </w:r>
      <w:r>
        <w:rPr>
          <w:highlight w:val="FFFF00"/>
        </w:rPr>
        <w:t>FC2实验采用0.5小时降采样（纹波工况最优），FC1实验采用1小时降采样（准静态工况最优）。</w:t>
      </w:r>
      <w:r>
        <w:t>除非特殊说明，所有结果均基于Loop 50协议——即50次独立随机种子训练——报告R2的最小值(Min)、均值(Mean)和最大值(Max)。</w:t>
      </w:r>
    </w:p>
    <w:p>
      <w:pPr>
        <w:pStyle w:val="Heading2"/>
      </w:pPr>
      <w:r>
        <w:t>5.2 FC2纹波工况主实验结果</w:t>
      </w:r>
    </w:p>
    <w:p>
      <w:pPr>
        <w:pStyle w:val="Heading3"/>
      </w:pPr>
      <w:r>
        <w:t>5.2.1 TFT在不同采样间隔下的性能</w:t>
      </w:r>
    </w:p>
    <w:p>
      <w:pPr/>
      <w:r>
        <w:rPr>
          <w:highlight w:val="FFFF00"/>
        </w:rPr>
        <w:t>表4给出了TFT在FC2工况下不同采样间隔的Loop 50测试结果。</w:t>
      </w:r>
      <w:r>
        <w:rPr>
          <w:highlight w:val="FFFF00"/>
        </w:rPr>
        <w:t>表4给出了TFT在FC2工况下不同采样间隔的Loop 50测试结果。</w:t>
      </w:r>
    </w:p>
    <w:p>
      <w:pPr/>
      <w:r/>
      <w:r>
        <w:rPr>
          <w:b/>
        </w:rPr>
        <w:t>[此处插入表4: FC2不同采样间隔TFT结果]</w:t>
      </w:r>
      <w:r/>
    </w:p>
    <w:p>
      <w:pPr/>
      <w:r/>
      <w:r>
        <w:rPr>
          <w:b/>
        </w:rPr>
        <w:t>表4 FC2电流纹波工况TFT结果</w:t>
      </w:r>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r/>
            <w:r>
              <w:rPr>
                <w:b/>
                <w:sz w:val="18"/>
              </w:rPr>
              <w:t>采样间隔</w:t>
            </w:r>
          </w:p>
        </w:tc>
        <w:tc>
          <w:tcPr>
            <w:tcW w:type="dxa" w:w="1234"/>
            <w:shd w:fill="D9E2F3"/>
          </w:tcPr>
          <w:p>
            <w:r/>
            <w:r>
              <w:rPr>
                <w:b/>
                <w:sz w:val="18"/>
              </w:rPr>
              <w:t>样本量(增强后)</w:t>
            </w:r>
          </w:p>
        </w:tc>
        <w:tc>
          <w:tcPr>
            <w:tcW w:type="dxa" w:w="1234"/>
            <w:shd w:fill="D9E2F3"/>
          </w:tcPr>
          <w:p>
            <w:r/>
            <w:r>
              <w:rPr>
                <w:b/>
                <w:sz w:val="18"/>
              </w:rPr>
              <w:t>Min R2</w:t>
            </w:r>
          </w:p>
        </w:tc>
        <w:tc>
          <w:tcPr>
            <w:tcW w:type="dxa" w:w="1234"/>
            <w:shd w:fill="D9E2F3"/>
          </w:tcPr>
          <w:p>
            <w:r/>
            <w:r>
              <w:rPr>
                <w:b/>
                <w:sz w:val="18"/>
              </w:rPr>
              <w:t>Mean R2</w:t>
            </w:r>
          </w:p>
        </w:tc>
        <w:tc>
          <w:tcPr>
            <w:tcW w:type="dxa" w:w="1234"/>
            <w:shd w:fill="D9E2F3"/>
          </w:tcPr>
          <w:p>
            <w:r/>
            <w:r>
              <w:rPr>
                <w:b/>
                <w:sz w:val="18"/>
              </w:rPr>
              <w:t>Max R2</w:t>
            </w:r>
          </w:p>
        </w:tc>
        <w:tc>
          <w:tcPr>
            <w:tcW w:type="dxa" w:w="1234"/>
            <w:shd w:fill="D9E2F3"/>
          </w:tcPr>
          <w:p>
            <w:r/>
            <w:r>
              <w:rPr>
                <w:b/>
                <w:sz w:val="18"/>
              </w:rPr>
              <w:t>Top-5 R2</w:t>
            </w:r>
          </w:p>
        </w:tc>
        <w:tc>
          <w:tcPr>
            <w:tcW w:type="dxa" w:w="1234"/>
            <w:shd w:fill="D9E2F3"/>
          </w:tcPr>
          <w:p>
            <w:r/>
            <w:r>
              <w:rPr>
                <w:b/>
                <w:sz w:val="18"/>
              </w:rPr>
              <w:t>RMSE (V)</w:t>
            </w:r>
          </w:p>
        </w:tc>
      </w:tr>
      <w:tr>
        <w:tc>
          <w:tcPr>
            <w:tcW w:type="dxa" w:w="1234"/>
          </w:tcPr>
          <w:p>
            <w:r/>
            <w:r>
              <w:rPr>
                <w:b w:val="0"/>
                <w:sz w:val="18"/>
              </w:rPr>
              <w:t>1h</w:t>
            </w:r>
          </w:p>
        </w:tc>
        <w:tc>
          <w:tcPr>
            <w:tcW w:type="dxa" w:w="1234"/>
          </w:tcPr>
          <w:p>
            <w:r/>
            <w:r>
              <w:rPr>
                <w:b w:val="0"/>
                <w:sz w:val="18"/>
              </w:rPr>
              <w:t>3051</w:t>
            </w:r>
          </w:p>
        </w:tc>
        <w:tc>
          <w:tcPr>
            <w:tcW w:type="dxa" w:w="1234"/>
          </w:tcPr>
          <w:p>
            <w:r/>
            <w:r>
              <w:rPr>
                <w:b w:val="0"/>
                <w:sz w:val="18"/>
              </w:rPr>
              <w:t>0.81</w:t>
            </w:r>
          </w:p>
        </w:tc>
        <w:tc>
          <w:tcPr>
            <w:tcW w:type="dxa" w:w="1234"/>
          </w:tcPr>
          <w:p>
            <w:r/>
            <w:r>
              <w:rPr>
                <w:b w:val="0"/>
                <w:sz w:val="18"/>
              </w:rPr>
              <w:t>0.92</w:t>
            </w:r>
          </w:p>
        </w:tc>
        <w:tc>
          <w:tcPr>
            <w:tcW w:type="dxa" w:w="1234"/>
          </w:tcPr>
          <w:p>
            <w:r/>
            <w:r>
              <w:rPr>
                <w:b w:val="0"/>
                <w:sz w:val="18"/>
              </w:rPr>
              <w:t>0.97</w:t>
            </w:r>
          </w:p>
        </w:tc>
        <w:tc>
          <w:tcPr>
            <w:tcW w:type="dxa" w:w="1234"/>
          </w:tcPr>
          <w:p>
            <w:r/>
            <w:r>
              <w:rPr>
                <w:b w:val="0"/>
                <w:sz w:val="18"/>
              </w:rPr>
              <w:t>0.96</w:t>
            </w:r>
          </w:p>
        </w:tc>
        <w:tc>
          <w:tcPr>
            <w:tcW w:type="dxa" w:w="1234"/>
          </w:tcPr>
          <w:p>
            <w:r/>
            <w:r>
              <w:rPr>
                <w:b w:val="0"/>
                <w:sz w:val="18"/>
              </w:rPr>
              <w:t>0.006</w:t>
            </w:r>
          </w:p>
        </w:tc>
      </w:tr>
      <w:tr>
        <w:tc>
          <w:tcPr>
            <w:tcW w:type="dxa" w:w="1234"/>
          </w:tcPr>
          <w:p>
            <w:r/>
            <w:r>
              <w:rPr>
                <w:b w:val="0"/>
                <w:sz w:val="18"/>
              </w:rPr>
              <w:t>0.5h</w:t>
            </w:r>
          </w:p>
        </w:tc>
        <w:tc>
          <w:tcPr>
            <w:tcW w:type="dxa" w:w="1234"/>
          </w:tcPr>
          <w:p>
            <w:r/>
            <w:r>
              <w:rPr>
                <w:b w:val="0"/>
                <w:sz w:val="18"/>
              </w:rPr>
              <w:t>6114</w:t>
            </w:r>
          </w:p>
        </w:tc>
        <w:tc>
          <w:tcPr>
            <w:tcW w:type="dxa" w:w="1234"/>
            <w:shd w:fill="FFFF00"/>
          </w:tcPr>
          <w:p>
            <w:r/>
            <w:r>
              <w:rPr>
                <w:b w:val="0"/>
                <w:sz w:val="18"/>
              </w:rPr>
              <w:t>0.89</w:t>
            </w:r>
          </w:p>
        </w:tc>
        <w:tc>
          <w:tcPr>
            <w:tcW w:type="dxa" w:w="1234"/>
            <w:shd w:fill="FFFF00"/>
          </w:tcPr>
          <w:p>
            <w:r/>
            <w:r>
              <w:rPr>
                <w:b w:val="0"/>
                <w:sz w:val="18"/>
              </w:rPr>
              <w:t>0.95</w:t>
            </w:r>
          </w:p>
        </w:tc>
        <w:tc>
          <w:tcPr>
            <w:tcW w:type="dxa" w:w="1234"/>
          </w:tcPr>
          <w:p>
            <w:r/>
            <w:r>
              <w:rPr>
                <w:b w:val="0"/>
                <w:sz w:val="18"/>
              </w:rPr>
              <w:t>0.98</w:t>
            </w:r>
          </w:p>
        </w:tc>
        <w:tc>
          <w:tcPr>
            <w:tcW w:type="dxa" w:w="1234"/>
          </w:tcPr>
          <w:p>
            <w:r/>
            <w:r>
              <w:rPr>
                <w:b w:val="0"/>
                <w:sz w:val="18"/>
              </w:rPr>
              <w:t>0.98</w:t>
            </w:r>
          </w:p>
        </w:tc>
        <w:tc>
          <w:tcPr>
            <w:tcW w:type="dxa" w:w="1234"/>
          </w:tcPr>
          <w:p>
            <w:r/>
            <w:r>
              <w:rPr>
                <w:b w:val="0"/>
                <w:sz w:val="18"/>
              </w:rPr>
              <w:t>0.004</w:t>
            </w:r>
          </w:p>
        </w:tc>
      </w:tr>
    </w:tbl>
    <w:p/>
    <w:p>
      <w:pPr/>
      <w:r>
        <w:rPr>
          <w:highlight w:val="FFFF00"/>
        </w:rPr>
        <w:t>FC2在0.5h采样下的Min R²达到0.89——即使在最不利的随机初始化下，TFT仍能保持高度稳定的预测性能。</w:t>
      </w:r>
      <w:r>
        <w:rPr>
          <w:highlight w:val="FFFF00"/>
        </w:rPr>
        <w:t>FC2在0.5h采样下的Min R²达到0.89——即使在最不利的随机初始化下，TFT仍能保持高度稳定的预测性能。</w:t>
      </w:r>
      <w:r>
        <w:t>与1h采样相比，0.5h采样在所有指标上均有提升——Min R²从0.81升至0.89，Mean R²从0.92升至0.95。纹波工况下的信息密度更高，需要更密的采样来捕获负载波动的细节。</w:t>
      </w:r>
    </w:p>
    <w:p>
      <w:pPr>
        <w:pStyle w:val="Heading3"/>
      </w:pPr>
      <w:r>
        <w:t>5.2.2 FC2消融实验</w:t>
      </w:r>
    </w:p>
    <w:p>
      <w:pPr/>
      <w:r>
        <w:rPr>
          <w:highlight w:val="FFFF00"/>
        </w:rPr>
        <w:t>表5给出了五种模型在FC2（0.5h采样）上的Loop 50消融实验结果。各模型使用独立调参后的最优学习率以确保公平对比。</w:t>
      </w:r>
      <w:r>
        <w:rPr>
          <w:highlight w:val="FFFF00"/>
        </w:rPr>
        <w:t>表5给出了五种模型在FC2（0.5h采样）上的Loop 50消融实验结果。各模型使用独立调参后的最优学习率以确保公平对比。</w:t>
      </w:r>
    </w:p>
    <w:p>
      <w:pPr/>
      <w:r/>
      <w:r>
        <w:rPr>
          <w:b/>
        </w:rPr>
        <w:t>[此处插入表5: FC2纹波工况消融实验结果]</w:t>
      </w:r>
      <w:r/>
    </w:p>
    <w:p>
      <w:pPr/>
      <w:r/>
      <w:r>
        <w:rPr>
          <w:b/>
        </w:rPr>
        <w:t>表5 FC2纹波工况消融实验结果</w:t>
      </w:r>
      <w:r/>
    </w:p>
    <w:tbl>
      <w:tblPr>
        <w:tblStyle w:val="TableGrid"/>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D9E2F3"/>
          </w:tcPr>
          <w:p>
            <w:r/>
            <w:r>
              <w:rPr>
                <w:b/>
                <w:sz w:val="18"/>
              </w:rPr>
              <w:t>模型</w:t>
            </w:r>
          </w:p>
        </w:tc>
        <w:tc>
          <w:tcPr>
            <w:tcW w:type="dxa" w:w="864"/>
            <w:shd w:fill="D9E2F3"/>
          </w:tcPr>
          <w:p>
            <w:r/>
            <w:r>
              <w:rPr>
                <w:b/>
                <w:sz w:val="18"/>
              </w:rPr>
              <w:t>输入</w:t>
            </w:r>
          </w:p>
        </w:tc>
        <w:tc>
          <w:tcPr>
            <w:tcW w:type="dxa" w:w="864"/>
            <w:shd w:fill="D9E2F3"/>
          </w:tcPr>
          <w:p>
            <w:r/>
            <w:r>
              <w:rPr>
                <w:b/>
                <w:sz w:val="18"/>
              </w:rPr>
              <w:t>学习率</w:t>
            </w:r>
          </w:p>
        </w:tc>
        <w:tc>
          <w:tcPr>
            <w:tcW w:type="dxa" w:w="864"/>
            <w:shd w:fill="D9E2F3"/>
          </w:tcPr>
          <w:p>
            <w:r/>
            <w:r>
              <w:rPr>
                <w:b/>
                <w:sz w:val="18"/>
              </w:rPr>
              <w:t>Min R2</w:t>
            </w:r>
          </w:p>
        </w:tc>
        <w:tc>
          <w:tcPr>
            <w:tcW w:type="dxa" w:w="864"/>
            <w:shd w:fill="D9E2F3"/>
          </w:tcPr>
          <w:p>
            <w:r/>
            <w:r>
              <w:rPr>
                <w:b/>
                <w:sz w:val="18"/>
              </w:rPr>
              <w:t>Mean R2</w:t>
            </w:r>
          </w:p>
        </w:tc>
        <w:tc>
          <w:tcPr>
            <w:tcW w:type="dxa" w:w="864"/>
            <w:shd w:fill="D9E2F3"/>
          </w:tcPr>
          <w:p>
            <w:r/>
            <w:r>
              <w:rPr>
                <w:b/>
                <w:sz w:val="18"/>
              </w:rPr>
              <w:t>Max R2</w:t>
            </w:r>
          </w:p>
        </w:tc>
        <w:tc>
          <w:tcPr>
            <w:tcW w:type="dxa" w:w="864"/>
            <w:shd w:fill="D9E2F3"/>
          </w:tcPr>
          <w:p>
            <w:r/>
            <w:r>
              <w:rPr>
                <w:b/>
                <w:sz w:val="18"/>
              </w:rPr>
              <w:t>Top-5集成R2</w:t>
            </w:r>
          </w:p>
        </w:tc>
        <w:tc>
          <w:tcPr>
            <w:tcW w:type="dxa" w:w="864"/>
            <w:shd w:fill="D9E2F3"/>
          </w:tcPr>
          <w:p>
            <w:r/>
            <w:r>
              <w:rPr>
                <w:b/>
                <w:sz w:val="18"/>
              </w:rPr>
              <w:t>RMSE (V)</w:t>
            </w:r>
          </w:p>
        </w:tc>
        <w:tc>
          <w:tcPr>
            <w:tcW w:type="dxa" w:w="864"/>
            <w:shd w:fill="D9E2F3"/>
          </w:tcPr>
          <w:p>
            <w:r/>
            <w:r>
              <w:rPr>
                <w:b/>
                <w:sz w:val="18"/>
              </w:rPr>
              <w:t>&lt;mark&gt;MAE (V)&lt;/mark&gt;</w:t>
            </w:r>
          </w:p>
        </w:tc>
        <w:tc>
          <w:tcPr>
            <w:tcW w:type="dxa" w:w="864"/>
            <w:shd w:fill="D9E2F3"/>
          </w:tcPr>
          <w:p>
            <w:r/>
            <w:r>
              <w:rPr>
                <w:b/>
                <w:sz w:val="18"/>
              </w:rPr>
              <w:t>&lt;mark&gt;MAPE (%)&lt;/mark&gt;</w:t>
            </w:r>
          </w:p>
        </w:tc>
      </w:tr>
      <w:tr>
        <w:tc>
          <w:tcPr>
            <w:tcW w:type="dxa" w:w="864"/>
          </w:tcPr>
          <w:p>
            <w:r/>
            <w:r>
              <w:rPr>
                <w:b w:val="0"/>
                <w:sz w:val="18"/>
              </w:rPr>
              <w:t>DLinear*</w:t>
            </w:r>
          </w:p>
        </w:tc>
        <w:tc>
          <w:tcPr>
            <w:tcW w:type="dxa" w:w="864"/>
          </w:tcPr>
          <w:p>
            <w:r/>
            <w:r>
              <w:rPr>
                <w:b w:val="0"/>
                <w:sz w:val="18"/>
              </w:rPr>
              <w:t>L=10</w:t>
            </w:r>
          </w:p>
        </w:tc>
        <w:tc>
          <w:tcPr>
            <w:tcW w:type="dxa" w:w="864"/>
          </w:tcPr>
          <w:p>
            <w:r/>
            <w:r>
              <w:rPr>
                <w:b w:val="0"/>
                <w:sz w:val="18"/>
              </w:rPr>
              <w:t>1e-2</w:t>
            </w:r>
          </w:p>
        </w:tc>
        <w:tc>
          <w:tcPr>
            <w:tcW w:type="dxa" w:w="864"/>
          </w:tcPr>
          <w:p>
            <w:r/>
            <w:r>
              <w:rPr>
                <w:b w:val="0"/>
                <w:sz w:val="18"/>
              </w:rPr>
              <w:t>-4.49</w:t>
            </w:r>
          </w:p>
        </w:tc>
        <w:tc>
          <w:tcPr>
            <w:tcW w:type="dxa" w:w="864"/>
          </w:tcPr>
          <w:p>
            <w:r/>
            <w:r>
              <w:rPr>
                <w:b w:val="0"/>
                <w:sz w:val="18"/>
              </w:rPr>
              <w:t>-4.33</w:t>
            </w:r>
          </w:p>
        </w:tc>
        <w:tc>
          <w:tcPr>
            <w:tcW w:type="dxa" w:w="864"/>
          </w:tcPr>
          <w:p>
            <w:r/>
            <w:r>
              <w:rPr>
                <w:b w:val="0"/>
                <w:sz w:val="18"/>
              </w:rPr>
              <w:t>-4.15</w:t>
            </w:r>
          </w:p>
        </w:tc>
        <w:tc>
          <w:tcPr>
            <w:tcW w:type="dxa" w:w="864"/>
          </w:tcPr>
          <w:p>
            <w:r/>
            <w:r>
              <w:rPr>
                <w:b w:val="0"/>
                <w:sz w:val="18"/>
              </w:rPr>
              <w:t>-4.19</w:t>
            </w:r>
          </w:p>
        </w:tc>
        <w:tc>
          <w:tcPr>
            <w:tcW w:type="dxa" w:w="864"/>
          </w:tcPr>
          <w:p>
            <w:r/>
            <w:r>
              <w:rPr>
                <w:b w:val="0"/>
                <w:sz w:val="18"/>
              </w:rPr>
              <w:t>0.057</w:t>
            </w:r>
          </w:p>
        </w:tc>
        <w:tc>
          <w:tcPr>
            <w:tcW w:type="dxa" w:w="864"/>
            <w:shd w:fill="FFFF00"/>
          </w:tcPr>
          <w:p>
            <w:r/>
            <w:r>
              <w:rPr>
                <w:b w:val="0"/>
                <w:sz w:val="18"/>
              </w:rPr>
              <w:t>—</w:t>
            </w:r>
          </w:p>
        </w:tc>
        <w:tc>
          <w:tcPr>
            <w:tcW w:type="dxa" w:w="864"/>
            <w:shd w:fill="FFFF00"/>
          </w:tcPr>
          <w:p>
            <w:r/>
            <w:r>
              <w:rPr>
                <w:b w:val="0"/>
                <w:sz w:val="18"/>
              </w:rPr>
              <w:t>—</w:t>
            </w:r>
          </w:p>
        </w:tc>
      </w:tr>
      <w:tr>
        <w:tc>
          <w:tcPr>
            <w:tcW w:type="dxa" w:w="864"/>
          </w:tcPr>
          <w:p>
            <w:r/>
            <w:r>
              <w:rPr>
                <w:b w:val="0"/>
                <w:sz w:val="18"/>
              </w:rPr>
              <w:t>ResMLP</w:t>
            </w:r>
          </w:p>
        </w:tc>
        <w:tc>
          <w:tcPr>
            <w:tcW w:type="dxa" w:w="864"/>
          </w:tcPr>
          <w:p>
            <w:r/>
            <w:r>
              <w:rPr>
                <w:b w:val="0"/>
                <w:sz w:val="18"/>
              </w:rPr>
              <w:t>L=1</w:t>
            </w:r>
          </w:p>
        </w:tc>
        <w:tc>
          <w:tcPr>
            <w:tcW w:type="dxa" w:w="864"/>
          </w:tcPr>
          <w:p>
            <w:r/>
            <w:r>
              <w:rPr>
                <w:b w:val="0"/>
                <w:sz w:val="18"/>
              </w:rPr>
              <w:t>1e-3</w:t>
            </w:r>
          </w:p>
        </w:tc>
        <w:tc>
          <w:tcPr>
            <w:tcW w:type="dxa" w:w="864"/>
          </w:tcPr>
          <w:p>
            <w:r/>
            <w:r>
              <w:rPr>
                <w:b w:val="0"/>
                <w:sz w:val="18"/>
              </w:rPr>
              <w:t>0.21</w:t>
            </w:r>
          </w:p>
        </w:tc>
        <w:tc>
          <w:tcPr>
            <w:tcW w:type="dxa" w:w="864"/>
          </w:tcPr>
          <w:p>
            <w:r/>
            <w:r>
              <w:rPr>
                <w:b w:val="0"/>
                <w:sz w:val="18"/>
              </w:rPr>
              <w:t>0.34</w:t>
            </w:r>
          </w:p>
        </w:tc>
        <w:tc>
          <w:tcPr>
            <w:tcW w:type="dxa" w:w="864"/>
          </w:tcPr>
          <w:p>
            <w:r/>
            <w:r>
              <w:rPr>
                <w:b w:val="0"/>
                <w:sz w:val="18"/>
              </w:rPr>
              <w:t>0.49</w:t>
            </w:r>
          </w:p>
        </w:tc>
        <w:tc>
          <w:tcPr>
            <w:tcW w:type="dxa" w:w="864"/>
          </w:tcPr>
          <w:p>
            <w:r/>
            <w:r>
              <w:rPr>
                <w:b w:val="0"/>
                <w:sz w:val="18"/>
              </w:rPr>
              <w:t>0.47</w:t>
            </w:r>
          </w:p>
        </w:tc>
        <w:tc>
          <w:tcPr>
            <w:tcW w:type="dxa" w:w="864"/>
          </w:tcPr>
          <w:p>
            <w:r/>
            <w:r>
              <w:rPr>
                <w:b w:val="0"/>
                <w:sz w:val="18"/>
              </w:rPr>
              <w:t>0.018</w:t>
            </w:r>
          </w:p>
        </w:tc>
        <w:tc>
          <w:tcPr>
            <w:tcW w:type="dxa" w:w="864"/>
            <w:shd w:fill="FFFF00"/>
          </w:tcPr>
          <w:p>
            <w:r/>
            <w:r>
              <w:rPr>
                <w:b w:val="0"/>
                <w:sz w:val="18"/>
              </w:rPr>
              <w:t>0.015</w:t>
            </w:r>
          </w:p>
        </w:tc>
        <w:tc>
          <w:tcPr>
            <w:tcW w:type="dxa" w:w="864"/>
            <w:shd w:fill="FFFF00"/>
          </w:tcPr>
          <w:p>
            <w:r/>
            <w:r>
              <w:rPr>
                <w:b w:val="0"/>
                <w:sz w:val="18"/>
              </w:rPr>
              <w:t>0.47</w:t>
            </w:r>
          </w:p>
        </w:tc>
      </w:tr>
      <w:tr>
        <w:tc>
          <w:tcPr>
            <w:tcW w:type="dxa" w:w="864"/>
          </w:tcPr>
          <w:p>
            <w:r/>
            <w:r>
              <w:rPr>
                <w:b w:val="0"/>
                <w:sz w:val="18"/>
              </w:rPr>
              <w:t>LSTMBaseline</w:t>
            </w:r>
          </w:p>
        </w:tc>
        <w:tc>
          <w:tcPr>
            <w:tcW w:type="dxa" w:w="864"/>
          </w:tcPr>
          <w:p>
            <w:r/>
            <w:r>
              <w:rPr>
                <w:b w:val="0"/>
                <w:sz w:val="18"/>
              </w:rPr>
              <w:t>L=1</w:t>
            </w:r>
          </w:p>
        </w:tc>
        <w:tc>
          <w:tcPr>
            <w:tcW w:type="dxa" w:w="864"/>
          </w:tcPr>
          <w:p>
            <w:r/>
            <w:r>
              <w:rPr>
                <w:b w:val="0"/>
                <w:sz w:val="18"/>
              </w:rPr>
              <w:t>2e-4</w:t>
            </w:r>
          </w:p>
        </w:tc>
        <w:tc>
          <w:tcPr>
            <w:tcW w:type="dxa" w:w="864"/>
          </w:tcPr>
          <w:p>
            <w:r/>
            <w:r>
              <w:rPr>
                <w:b w:val="0"/>
                <w:sz w:val="18"/>
              </w:rPr>
              <w:t>0.83</w:t>
            </w:r>
          </w:p>
        </w:tc>
        <w:tc>
          <w:tcPr>
            <w:tcW w:type="dxa" w:w="864"/>
          </w:tcPr>
          <w:p>
            <w:r/>
            <w:r>
              <w:rPr>
                <w:b w:val="0"/>
                <w:sz w:val="18"/>
              </w:rPr>
              <w:t>0.96</w:t>
            </w:r>
          </w:p>
        </w:tc>
        <w:tc>
          <w:tcPr>
            <w:tcW w:type="dxa" w:w="864"/>
          </w:tcPr>
          <w:p>
            <w:r/>
            <w:r>
              <w:rPr>
                <w:b w:val="0"/>
                <w:sz w:val="18"/>
              </w:rPr>
              <w:t>0.98</w:t>
            </w:r>
          </w:p>
        </w:tc>
        <w:tc>
          <w:tcPr>
            <w:tcW w:type="dxa" w:w="864"/>
          </w:tcPr>
          <w:p>
            <w:r/>
            <w:r>
              <w:rPr>
                <w:b w:val="0"/>
                <w:sz w:val="18"/>
              </w:rPr>
              <w:t>0.98</w:t>
            </w:r>
          </w:p>
        </w:tc>
        <w:tc>
          <w:tcPr>
            <w:tcW w:type="dxa" w:w="864"/>
          </w:tcPr>
          <w:p>
            <w:r/>
            <w:r>
              <w:rPr>
                <w:b w:val="0"/>
                <w:sz w:val="18"/>
              </w:rPr>
              <w:t>0.004</w:t>
            </w:r>
          </w:p>
        </w:tc>
        <w:tc>
          <w:tcPr>
            <w:tcW w:type="dxa" w:w="864"/>
            <w:shd w:fill="FFFF00"/>
          </w:tcPr>
          <w:p>
            <w:r/>
            <w:r>
              <w:rPr>
                <w:b w:val="0"/>
                <w:sz w:val="18"/>
              </w:rPr>
              <w:t>0.003</w:t>
            </w:r>
          </w:p>
        </w:tc>
        <w:tc>
          <w:tcPr>
            <w:tcW w:type="dxa" w:w="864"/>
            <w:shd w:fill="FFFF00"/>
          </w:tcPr>
          <w:p>
            <w:r/>
            <w:r>
              <w:rPr>
                <w:b w:val="0"/>
                <w:sz w:val="18"/>
              </w:rPr>
              <w:t>0.10</w:t>
            </w:r>
          </w:p>
        </w:tc>
      </w:tr>
      <w:tr>
        <w:tc>
          <w:tcPr>
            <w:tcW w:type="dxa" w:w="864"/>
          </w:tcPr>
          <w:p>
            <w:r/>
            <w:r>
              <w:rPr>
                <w:b w:val="0"/>
                <w:sz w:val="18"/>
              </w:rPr>
              <w:t>TSMixer</w:t>
            </w:r>
          </w:p>
        </w:tc>
        <w:tc>
          <w:tcPr>
            <w:tcW w:type="dxa" w:w="864"/>
          </w:tcPr>
          <w:p>
            <w:r/>
            <w:r>
              <w:rPr>
                <w:b w:val="0"/>
                <w:sz w:val="18"/>
              </w:rPr>
              <w:t>L=1</w:t>
            </w:r>
          </w:p>
        </w:tc>
        <w:tc>
          <w:tcPr>
            <w:tcW w:type="dxa" w:w="864"/>
          </w:tcPr>
          <w:p>
            <w:r/>
            <w:r>
              <w:rPr>
                <w:b w:val="0"/>
                <w:sz w:val="18"/>
              </w:rPr>
              <w:t>1e-2</w:t>
            </w:r>
          </w:p>
        </w:tc>
        <w:tc>
          <w:tcPr>
            <w:tcW w:type="dxa" w:w="864"/>
          </w:tcPr>
          <w:p>
            <w:r/>
            <w:r>
              <w:rPr>
                <w:b w:val="0"/>
                <w:sz w:val="18"/>
              </w:rPr>
              <w:t>0.95</w:t>
            </w:r>
          </w:p>
        </w:tc>
        <w:tc>
          <w:tcPr>
            <w:tcW w:type="dxa" w:w="864"/>
          </w:tcPr>
          <w:p>
            <w:r/>
            <w:r>
              <w:rPr>
                <w:b w:val="0"/>
                <w:sz w:val="18"/>
              </w:rPr>
              <w:t>0.97</w:t>
            </w:r>
          </w:p>
        </w:tc>
        <w:tc>
          <w:tcPr>
            <w:tcW w:type="dxa" w:w="864"/>
          </w:tcPr>
          <w:p>
            <w:r/>
            <w:r>
              <w:rPr>
                <w:b w:val="0"/>
                <w:sz w:val="18"/>
              </w:rPr>
              <w:t>0.99</w:t>
            </w:r>
          </w:p>
        </w:tc>
        <w:tc>
          <w:tcPr>
            <w:tcW w:type="dxa" w:w="864"/>
          </w:tcPr>
          <w:p>
            <w:r/>
            <w:r>
              <w:rPr>
                <w:b w:val="0"/>
                <w:sz w:val="18"/>
              </w:rPr>
              <w:t>0.99</w:t>
            </w:r>
          </w:p>
        </w:tc>
        <w:tc>
          <w:tcPr>
            <w:tcW w:type="dxa" w:w="864"/>
          </w:tcPr>
          <w:p>
            <w:r/>
            <w:r>
              <w:rPr>
                <w:b w:val="0"/>
                <w:sz w:val="18"/>
              </w:rPr>
              <w:t>0.003</w:t>
            </w:r>
          </w:p>
        </w:tc>
        <w:tc>
          <w:tcPr>
            <w:tcW w:type="dxa" w:w="864"/>
            <w:shd w:fill="FFFF00"/>
          </w:tcPr>
          <w:p>
            <w:r/>
            <w:r>
              <w:rPr>
                <w:b w:val="0"/>
                <w:sz w:val="18"/>
              </w:rPr>
              <w:t>0.002</w:t>
            </w:r>
          </w:p>
        </w:tc>
        <w:tc>
          <w:tcPr>
            <w:tcW w:type="dxa" w:w="864"/>
            <w:shd w:fill="FFFF00"/>
          </w:tcPr>
          <w:p>
            <w:r/>
            <w:r>
              <w:rPr>
                <w:b w:val="0"/>
                <w:sz w:val="18"/>
              </w:rPr>
              <w:t>0.06</w:t>
            </w:r>
          </w:p>
        </w:tc>
      </w:tr>
      <w:tr>
        <w:tc>
          <w:tcPr>
            <w:tcW w:type="dxa" w:w="864"/>
          </w:tcPr>
          <w:p>
            <w:r/>
            <w:r>
              <w:rPr>
                <w:b w:val="0"/>
                <w:sz w:val="18"/>
              </w:rPr>
              <w:t>TFT（本文）</w:t>
            </w:r>
          </w:p>
        </w:tc>
        <w:tc>
          <w:tcPr>
            <w:tcW w:type="dxa" w:w="864"/>
          </w:tcPr>
          <w:p>
            <w:r/>
            <w:r>
              <w:rPr>
                <w:b w:val="0"/>
                <w:sz w:val="18"/>
              </w:rPr>
              <w:t>L=1</w:t>
            </w:r>
          </w:p>
        </w:tc>
        <w:tc>
          <w:tcPr>
            <w:tcW w:type="dxa" w:w="864"/>
          </w:tcPr>
          <w:p>
            <w:r/>
            <w:r>
              <w:rPr>
                <w:b w:val="0"/>
                <w:sz w:val="18"/>
              </w:rPr>
              <w:t>3e-4</w:t>
            </w:r>
          </w:p>
        </w:tc>
        <w:tc>
          <w:tcPr>
            <w:tcW w:type="dxa" w:w="864"/>
          </w:tcPr>
          <w:p>
            <w:r/>
            <w:r>
              <w:rPr>
                <w:b w:val="0"/>
                <w:sz w:val="18"/>
              </w:rPr>
              <w:t>0.89</w:t>
            </w:r>
          </w:p>
        </w:tc>
        <w:tc>
          <w:tcPr>
            <w:tcW w:type="dxa" w:w="864"/>
          </w:tcPr>
          <w:p>
            <w:r/>
            <w:r>
              <w:rPr>
                <w:b w:val="0"/>
                <w:sz w:val="18"/>
              </w:rPr>
              <w:t>0.95</w:t>
            </w:r>
          </w:p>
        </w:tc>
        <w:tc>
          <w:tcPr>
            <w:tcW w:type="dxa" w:w="864"/>
          </w:tcPr>
          <w:p>
            <w:r/>
            <w:r>
              <w:rPr>
                <w:b w:val="0"/>
                <w:sz w:val="18"/>
              </w:rPr>
              <w:t>0.98</w:t>
            </w:r>
          </w:p>
        </w:tc>
        <w:tc>
          <w:tcPr>
            <w:tcW w:type="dxa" w:w="864"/>
          </w:tcPr>
          <w:p>
            <w:r/>
            <w:r>
              <w:rPr>
                <w:b w:val="0"/>
                <w:sz w:val="18"/>
              </w:rPr>
              <w:t>0.98</w:t>
            </w:r>
          </w:p>
        </w:tc>
        <w:tc>
          <w:tcPr>
            <w:tcW w:type="dxa" w:w="864"/>
          </w:tcPr>
          <w:p>
            <w:r/>
            <w:r>
              <w:rPr>
                <w:b w:val="0"/>
                <w:sz w:val="18"/>
              </w:rPr>
              <w:t>0.004</w:t>
            </w:r>
          </w:p>
        </w:tc>
        <w:tc>
          <w:tcPr>
            <w:tcW w:type="dxa" w:w="864"/>
            <w:shd w:fill="FFFF00"/>
          </w:tcPr>
          <w:p>
            <w:r/>
            <w:r>
              <w:rPr>
                <w:b w:val="0"/>
                <w:sz w:val="18"/>
              </w:rPr>
              <w:t>0.003</w:t>
            </w:r>
          </w:p>
        </w:tc>
        <w:tc>
          <w:tcPr>
            <w:tcW w:type="dxa" w:w="864"/>
            <w:shd w:fill="FFFF00"/>
          </w:tcPr>
          <w:p>
            <w:r/>
            <w:r>
              <w:rPr>
                <w:b w:val="0"/>
                <w:sz w:val="18"/>
              </w:rPr>
              <w:t>0.10</w:t>
            </w:r>
          </w:p>
        </w:tc>
      </w:tr>
      <w:tr>
        <w:tc>
          <w:tcPr>
            <w:tcW w:type="dxa" w:w="864"/>
          </w:tcPr>
          <w:p>
            <w:r/>
            <w:r>
              <w:rPr>
                <w:b w:val="0"/>
                <w:sz w:val="18"/>
              </w:rPr>
              <w:t>*DLinear requires L&gt;=5 for decomposition; evaluated at L=10 (2032→1016 training samples). Others use L=1+lag (6114→3057 training samples).</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p>
      <w:pPr/>
      <w:r>
        <w:t>从表5可以得出以下核心发现：</w:t>
      </w:r>
    </w:p>
    <w:p>
      <w:pPr/>
      <w:r>
        <w:t>**（1）TSMixer在FC2纹波工况下表现</w:t>
      </w:r>
      <w:r>
        <w:rPr>
          <w:highlight w:val="92D050"/>
        </w:rPr>
        <w:t>突出</w:t>
      </w:r>
      <w:r>
        <w:rPr>
          <w:highlight w:val="92D050"/>
        </w:rPr>
        <w:t>突出</w:t>
      </w:r>
      <w:r>
        <w:t xml:space="preserve">。** </w:t>
      </w:r>
      <w:r>
        <w:rPr>
          <w:highlight w:val="FFFF00"/>
        </w:rPr>
        <w:t>TSMixer的Min R²=0.95是五种模型中训练稳定性最高的——其纯MLP架构在纹波数据的丰富动态中无需门控机制即可学习到有效的退化映射。这一结果与FC1形成鲜明对比（FC1上TSMixer Min R²=0.21），说明TSMixer的性能高度依赖数据的信息密度：纹波工况的传感器动态变化提供了更多"传感器→电压"的映射样本，MLP的多层特征混合足以捕获这些模式。</w:t>
      </w:r>
      <w:r>
        <w:rPr>
          <w:highlight w:val="FFFF00"/>
        </w:rPr>
        <w:t>TSMixer的Min R²=0.95是五种模型中训练稳定性最高的——其纯MLP架构在纹波数据的丰富动态中无需门控机制即可学习到有效的退化映射。这一结果与FC1形成鲜明对比（FC1上TSMixer Min R²=0.21），说明TSMixer的性能高度依赖数据的信息密度：纹波工况的传感器动态变化提供了更多"传感器→电压"的映射样本，MLP的多层特征混合足以捕获这些模式。</w:t>
      </w:r>
    </w:p>
    <w:p>
      <w:pPr/>
      <w:r/>
      <w:r>
        <w:rPr>
          <w:b/>
        </w:rPr>
        <w:t>（2）TFT的综合性能稳健。</w:t>
      </w:r>
      <w:r>
        <w:t xml:space="preserve"> TFT在FC2上的Min R²=0.89, Mean R²=0.95, Max R²=0.98，在五个模型中综合排名第二。TFT的Min R²（0.89）虽低于TSMixer（0.95），但其GRN门控和Variable Selection机制赋予了模型更强的可解释性——TSMixer只能给出预测值，TFT还能提供传感器重要性和Attention权重。在工程部署中，这种可解释性是维护决策信任的基础。</w:t>
      </w:r>
    </w:p>
    <w:p>
      <w:pPr/>
      <w:r/>
      <w:r>
        <w:rPr>
          <w:b/>
        </w:rPr>
        <w:t>（3）DLinear在纹波工况下彻底失效。</w:t>
      </w:r>
      <w:r>
        <w:t xml:space="preserve"> </w:t>
      </w:r>
      <w:r>
        <w:rPr>
          <w:highlight w:val="FFFF00"/>
        </w:rPr>
        <w:t>DLinear在FC1准静态工况下表现优异（Min R²=0.65），但在FC2上所有50次训练的R²均为负数（约-4.3）。AvgPool1d的趋势分解在纹波工况下完全失效——电流的周期性波动使得移动平均无法区分"退化趋势"和"负载波动"，提取出的"趋势"实际上是平滑后的纹波包络而非真实的电压衰减。这一发现揭示了DLinear的根本局限性：其性能完全取决于数据的平稳性，不适用于动态工况。</w:t>
      </w:r>
      <w:r>
        <w:rPr>
          <w:highlight w:val="FFFF00"/>
        </w:rPr>
        <w:t>DLinear在FC1准静态工况下表现优异（Min R²=0.65），但在FC2上所有50次训练的R²均为负数（约-4.3）。AvgPool1d的趋势分解在纹波工况下完全失效——电流的周期性波动使得移动平均无法区分"退化趋势"和"负载波动"，提取出的"趋势"实际上是平滑后的纹波包络而非真实的电压衰减。这一发现揭示了DLinear的根本局限性：其性能完全取决于数据的平稳性，不适用于动态工况。</w:t>
      </w:r>
    </w:p>
    <w:p>
      <w:pPr/>
      <w:r/>
      <w:r>
        <w:rPr>
          <w:b/>
        </w:rPr>
        <w:t>（4）LSTM在纹波工况下大幅改善。</w:t>
      </w:r>
      <w:r>
        <w:t xml:space="preserve"> 与FC1上Min R²=-2.21的灾难性结果不同，LSTM在FC2上达到Min R²=0.83。纹波条件下的时序动态变化为LSTM的门控机制提供了有效的学习信号——遗忘门和输入门在传感器读数的波动中识别到有意义的时序模式，而非准静态条件下无法区分的噪声。</w:t>
      </w:r>
    </w:p>
    <w:p>
      <w:pPr/>
      <w:r/>
      <w:r>
        <w:rPr>
          <w:b/>
        </w:rPr>
        <w:t>（5）ResMLP的LayerNorm问题在FC2上部分缓解但未根除。</w:t>
      </w:r>
      <w:r>
        <w:t xml:space="preserve"> </w:t>
      </w:r>
      <w:r>
        <w:rPr>
          <w:highlight w:val="FFFF00"/>
        </w:rPr>
        <w:t>ResMLP在FC2上Min R²=0.21（FC1上为-12.88）——FC2更大的数据量（6114 vs 3453样本）和更丰富的动态信息在一定程度上补偿了LayerNorm对MinMax分布的破坏。但其Mean R²=0.34仍远低于其他模型，LayerNorm的根本性缺陷依然存在。</w:t>
      </w:r>
      <w:r>
        <w:rPr>
          <w:highlight w:val="FFFF00"/>
        </w:rPr>
        <w:t>ResMLP在FC2上Min R²=0.21（FC1上为-12.88）——FC2更大的数据量（6114 vs 3453样本）和更丰富的动态信息在一定程度上补偿了LayerNorm对MinMax分布的破坏。但其Mean R²=0.34仍远低于其他模型，LayerNorm的根本性缺陷依然存在。</w:t>
      </w:r>
    </w:p>
    <w:p>
      <w:pPr>
        <w:pStyle w:val="Heading3"/>
      </w:pPr>
      <w:r>
        <w:t>5.2.3 TFT在FC2上的详细性能</w:t>
      </w:r>
    </w:p>
    <w:p>
      <w:pPr/>
      <w:r>
        <w:rPr>
          <w:highlight w:val="FFFF00"/>
        </w:rPr>
        <w:t>图4展示了TFT在FC2（0.5h采样）上最佳模型的预测结果。</w:t>
      </w:r>
      <w:r>
        <w:rPr>
          <w:highlight w:val="FFFF00"/>
        </w:rPr>
        <w:t>图4展示了TFT在FC2（0.5h采样）上最佳模型的预测结果。</w:t>
      </w:r>
    </w:p>
    <w:p>
      <w:r>
        <w:rPr>
          <w:i/>
          <w:color w:val="808080"/>
          <w:sz w:val="20"/>
        </w:rPr>
        <w:t>[此处插入图4: FC2测试集预测电压vs真实电压曲线 (prediction_vs_true.png)]</w:t>
      </w:r>
    </w:p>
    <w:p>
      <w:pPr/>
      <w:r>
        <w:t>在测试集（占总数据40%，约408小时）上，预测曲线与真实电压高度吻合（R²=0.98，RMSE=0.004V）。纹波工况下电压的波动范围（约3.1-3.3V）远大于FC1（约3.18-3.35V），但TFT成功捕获了纹波包络中的退化趋势。</w:t>
      </w:r>
    </w:p>
    <w:p>
      <w:r>
        <w:rPr>
          <w:i/>
          <w:color w:val="808080"/>
          <w:sz w:val="20"/>
        </w:rPr>
        <w:t>[此处插入图5: FC2测试集预测散点图 True vs Predicted (scatter_true_vs_pred.png)]</w:t>
      </w:r>
    </w:p>
    <w:p>
      <w:pPr>
        <w:pStyle w:val="Heading2"/>
      </w:pPr>
      <w:r>
        <w:t>5.3 FC1准静态工况交叉验证</w:t>
      </w:r>
    </w:p>
    <w:p>
      <w:pPr>
        <w:pStyle w:val="Heading3"/>
      </w:pPr>
      <w:r>
        <w:t>5.3.1 FC1消融实验</w:t>
      </w:r>
    </w:p>
    <w:p>
      <w:pPr/>
      <w:r>
        <w:rPr>
          <w:highlight w:val="FFFF00"/>
        </w:rPr>
        <w:t>为验证模型在不同工况下的行为一致性，本文在FC1（1h采样）上进行了相同的消融实验作为交叉验证。表6给出了五种模型在FC1上的Loop 50结果。</w:t>
      </w:r>
      <w:r>
        <w:rPr>
          <w:highlight w:val="FFFF00"/>
        </w:rPr>
        <w:t>为验证模型在不同工况下的行为一致性，本文在FC1（1h采样）上进行了相同的消融实验作为交叉验证。表6给出了五种模型在FC1上的Loop 50结果。</w:t>
      </w:r>
    </w:p>
    <w:p>
      <w:pPr/>
      <w:r/>
      <w:r>
        <w:rPr>
          <w:b/>
        </w:rPr>
        <w:t>[此处插入表6: FC1准静态工况消融实验结果]</w:t>
      </w:r>
      <w:r/>
    </w:p>
    <w:p>
      <w:pPr/>
      <w:r/>
      <w:r>
        <w:rPr>
          <w:b/>
        </w:rPr>
        <w:t>表6 FC1准静态工况消融实验结果</w:t>
      </w:r>
      <w:r/>
    </w:p>
    <w:tbl>
      <w:tblPr>
        <w:tblStyle w:val="TableGrid"/>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D9E2F3"/>
          </w:tcPr>
          <w:p>
            <w:r/>
            <w:r>
              <w:rPr>
                <w:b/>
                <w:sz w:val="18"/>
              </w:rPr>
              <w:t>模型</w:t>
            </w:r>
          </w:p>
        </w:tc>
        <w:tc>
          <w:tcPr>
            <w:tcW w:type="dxa" w:w="864"/>
            <w:shd w:fill="D9E2F3"/>
          </w:tcPr>
          <w:p>
            <w:r/>
            <w:r>
              <w:rPr>
                <w:b/>
                <w:sz w:val="18"/>
              </w:rPr>
              <w:t>输入</w:t>
            </w:r>
          </w:p>
        </w:tc>
        <w:tc>
          <w:tcPr>
            <w:tcW w:type="dxa" w:w="864"/>
            <w:shd w:fill="D9E2F3"/>
          </w:tcPr>
          <w:p>
            <w:r/>
            <w:r>
              <w:rPr>
                <w:b/>
                <w:sz w:val="18"/>
              </w:rPr>
              <w:t>学习率</w:t>
            </w:r>
          </w:p>
        </w:tc>
        <w:tc>
          <w:tcPr>
            <w:tcW w:type="dxa" w:w="864"/>
            <w:shd w:fill="D9E2F3"/>
          </w:tcPr>
          <w:p>
            <w:r/>
            <w:r>
              <w:rPr>
                <w:b/>
                <w:sz w:val="18"/>
              </w:rPr>
              <w:t>Min R2</w:t>
            </w:r>
          </w:p>
        </w:tc>
        <w:tc>
          <w:tcPr>
            <w:tcW w:type="dxa" w:w="864"/>
            <w:shd w:fill="D9E2F3"/>
          </w:tcPr>
          <w:p>
            <w:r/>
            <w:r>
              <w:rPr>
                <w:b/>
                <w:sz w:val="18"/>
              </w:rPr>
              <w:t>Mean R2</w:t>
            </w:r>
          </w:p>
        </w:tc>
        <w:tc>
          <w:tcPr>
            <w:tcW w:type="dxa" w:w="864"/>
            <w:shd w:fill="D9E2F3"/>
          </w:tcPr>
          <w:p>
            <w:r/>
            <w:r>
              <w:rPr>
                <w:b/>
                <w:sz w:val="18"/>
              </w:rPr>
              <w:t>Max R2</w:t>
            </w:r>
          </w:p>
        </w:tc>
        <w:tc>
          <w:tcPr>
            <w:tcW w:type="dxa" w:w="864"/>
            <w:shd w:fill="D9E2F3"/>
          </w:tcPr>
          <w:p>
            <w:r/>
            <w:r>
              <w:rPr>
                <w:b/>
                <w:sz w:val="18"/>
              </w:rPr>
              <w:t>Top-5集成R2</w:t>
            </w:r>
          </w:p>
        </w:tc>
        <w:tc>
          <w:tcPr>
            <w:tcW w:type="dxa" w:w="864"/>
            <w:shd w:fill="D9E2F3"/>
          </w:tcPr>
          <w:p>
            <w:r/>
            <w:r>
              <w:rPr>
                <w:b/>
                <w:sz w:val="18"/>
              </w:rPr>
              <w:t>RMSE (V)</w:t>
            </w:r>
          </w:p>
        </w:tc>
        <w:tc>
          <w:tcPr>
            <w:tcW w:type="dxa" w:w="864"/>
            <w:shd w:fill="D9E2F3"/>
          </w:tcPr>
          <w:p>
            <w:r/>
            <w:r>
              <w:rPr>
                <w:b/>
                <w:sz w:val="18"/>
              </w:rPr>
              <w:t>&lt;mark&gt;MAE (V)&lt;/mark&gt;</w:t>
            </w:r>
          </w:p>
        </w:tc>
        <w:tc>
          <w:tcPr>
            <w:tcW w:type="dxa" w:w="864"/>
            <w:shd w:fill="D9E2F3"/>
          </w:tcPr>
          <w:p>
            <w:r/>
            <w:r>
              <w:rPr>
                <w:b/>
                <w:sz w:val="18"/>
              </w:rPr>
              <w:t>&lt;mark&gt;MAPE (%)&lt;/mark&gt;</w:t>
            </w:r>
          </w:p>
        </w:tc>
      </w:tr>
      <w:tr>
        <w:tc>
          <w:tcPr>
            <w:tcW w:type="dxa" w:w="864"/>
          </w:tcPr>
          <w:p>
            <w:r/>
            <w:r>
              <w:rPr>
                <w:b w:val="0"/>
                <w:sz w:val="18"/>
              </w:rPr>
              <w:t>DLinear*</w:t>
            </w:r>
          </w:p>
        </w:tc>
        <w:tc>
          <w:tcPr>
            <w:tcW w:type="dxa" w:w="864"/>
          </w:tcPr>
          <w:p>
            <w:r/>
            <w:r>
              <w:rPr>
                <w:b w:val="0"/>
                <w:sz w:val="18"/>
              </w:rPr>
              <w:t>L=10</w:t>
            </w:r>
          </w:p>
        </w:tc>
        <w:tc>
          <w:tcPr>
            <w:tcW w:type="dxa" w:w="864"/>
          </w:tcPr>
          <w:p>
            <w:r/>
            <w:r>
              <w:rPr>
                <w:b w:val="0"/>
                <w:sz w:val="18"/>
              </w:rPr>
              <w:t>1e-2</w:t>
            </w:r>
          </w:p>
        </w:tc>
        <w:tc>
          <w:tcPr>
            <w:tcW w:type="dxa" w:w="864"/>
          </w:tcPr>
          <w:p>
            <w:r/>
            <w:r>
              <w:rPr>
                <w:b w:val="0"/>
                <w:sz w:val="18"/>
              </w:rPr>
              <w:t>0.65</w:t>
            </w:r>
          </w:p>
        </w:tc>
        <w:tc>
          <w:tcPr>
            <w:tcW w:type="dxa" w:w="864"/>
          </w:tcPr>
          <w:p>
            <w:r/>
            <w:r>
              <w:rPr>
                <w:b w:val="0"/>
                <w:sz w:val="18"/>
              </w:rPr>
              <w:t>0.91</w:t>
            </w:r>
          </w:p>
        </w:tc>
        <w:tc>
          <w:tcPr>
            <w:tcW w:type="dxa" w:w="864"/>
          </w:tcPr>
          <w:p>
            <w:r/>
            <w:r>
              <w:rPr>
                <w:b w:val="0"/>
                <w:sz w:val="18"/>
              </w:rPr>
              <w:t>0.98</w:t>
            </w:r>
          </w:p>
        </w:tc>
        <w:tc>
          <w:tcPr>
            <w:tcW w:type="dxa" w:w="864"/>
          </w:tcPr>
          <w:p>
            <w:r/>
            <w:r>
              <w:rPr>
                <w:b w:val="0"/>
                <w:sz w:val="18"/>
              </w:rPr>
              <w:t>0.98</w:t>
            </w:r>
          </w:p>
        </w:tc>
        <w:tc>
          <w:tcPr>
            <w:tcW w:type="dxa" w:w="864"/>
          </w:tcPr>
          <w:p>
            <w:r/>
            <w:r>
              <w:rPr>
                <w:b w:val="0"/>
                <w:sz w:val="18"/>
              </w:rPr>
              <w:t>0.003</w:t>
            </w:r>
          </w:p>
        </w:tc>
        <w:tc>
          <w:tcPr>
            <w:tcW w:type="dxa" w:w="864"/>
            <w:shd w:fill="FFFF00"/>
          </w:tcPr>
          <w:p>
            <w:r/>
            <w:r>
              <w:rPr>
                <w:b w:val="0"/>
                <w:sz w:val="18"/>
              </w:rPr>
              <w:t>0.002</w:t>
            </w:r>
          </w:p>
        </w:tc>
        <w:tc>
          <w:tcPr>
            <w:tcW w:type="dxa" w:w="864"/>
            <w:shd w:fill="FFFF00"/>
          </w:tcPr>
          <w:p>
            <w:r/>
            <w:r>
              <w:rPr>
                <w:b w:val="0"/>
                <w:sz w:val="18"/>
              </w:rPr>
              <w:t>0.06</w:t>
            </w:r>
          </w:p>
        </w:tc>
      </w:tr>
      <w:tr>
        <w:tc>
          <w:tcPr>
            <w:tcW w:type="dxa" w:w="864"/>
          </w:tcPr>
          <w:p>
            <w:r/>
            <w:r>
              <w:rPr>
                <w:b w:val="0"/>
                <w:sz w:val="18"/>
              </w:rPr>
              <w:t>ResMLP</w:t>
            </w:r>
          </w:p>
        </w:tc>
        <w:tc>
          <w:tcPr>
            <w:tcW w:type="dxa" w:w="864"/>
          </w:tcPr>
          <w:p>
            <w:r/>
            <w:r>
              <w:rPr>
                <w:b w:val="0"/>
                <w:sz w:val="18"/>
              </w:rPr>
              <w:t>L=1</w:t>
            </w:r>
          </w:p>
        </w:tc>
        <w:tc>
          <w:tcPr>
            <w:tcW w:type="dxa" w:w="864"/>
          </w:tcPr>
          <w:p>
            <w:r/>
            <w:r>
              <w:rPr>
                <w:b w:val="0"/>
                <w:sz w:val="18"/>
              </w:rPr>
              <w:t>1e-3</w:t>
            </w:r>
          </w:p>
        </w:tc>
        <w:tc>
          <w:tcPr>
            <w:tcW w:type="dxa" w:w="864"/>
          </w:tcPr>
          <w:p>
            <w:r/>
            <w:r>
              <w:rPr>
                <w:b w:val="0"/>
                <w:sz w:val="18"/>
              </w:rPr>
              <w:t>-12.88</w:t>
            </w:r>
          </w:p>
        </w:tc>
        <w:tc>
          <w:tcPr>
            <w:tcW w:type="dxa" w:w="864"/>
          </w:tcPr>
          <w:p>
            <w:r/>
            <w:r>
              <w:rPr>
                <w:b w:val="0"/>
                <w:sz w:val="18"/>
              </w:rPr>
              <w:t>-10.00</w:t>
            </w:r>
          </w:p>
        </w:tc>
        <w:tc>
          <w:tcPr>
            <w:tcW w:type="dxa" w:w="864"/>
          </w:tcPr>
          <w:p>
            <w:r/>
            <w:r>
              <w:rPr>
                <w:b w:val="0"/>
                <w:sz w:val="18"/>
              </w:rPr>
              <w:t>-7.72</w:t>
            </w:r>
          </w:p>
        </w:tc>
        <w:tc>
          <w:tcPr>
            <w:tcW w:type="dxa" w:w="864"/>
          </w:tcPr>
          <w:p>
            <w:r/>
            <w:r>
              <w:rPr>
                <w:b w:val="0"/>
                <w:sz w:val="18"/>
              </w:rPr>
              <w:t>-8.29</w:t>
            </w:r>
          </w:p>
        </w:tc>
        <w:tc>
          <w:tcPr>
            <w:tcW w:type="dxa" w:w="864"/>
          </w:tcPr>
          <w:p>
            <w:r/>
            <w:r>
              <w:rPr>
                <w:b w:val="0"/>
                <w:sz w:val="18"/>
              </w:rPr>
              <w:t>—</w:t>
            </w:r>
          </w:p>
        </w:tc>
        <w:tc>
          <w:tcPr>
            <w:tcW w:type="dxa" w:w="864"/>
            <w:shd w:fill="FFFF00"/>
          </w:tcPr>
          <w:p>
            <w:r/>
            <w:r>
              <w:rPr>
                <w:b w:val="0"/>
                <w:sz w:val="18"/>
              </w:rPr>
              <w:t>—</w:t>
            </w:r>
          </w:p>
        </w:tc>
        <w:tc>
          <w:tcPr>
            <w:tcW w:type="dxa" w:w="864"/>
            <w:shd w:fill="FFFF00"/>
          </w:tcPr>
          <w:p>
            <w:r/>
            <w:r>
              <w:rPr>
                <w:b w:val="0"/>
                <w:sz w:val="18"/>
              </w:rPr>
              <w:t>—</w:t>
            </w:r>
          </w:p>
        </w:tc>
      </w:tr>
      <w:tr>
        <w:tc>
          <w:tcPr>
            <w:tcW w:type="dxa" w:w="864"/>
          </w:tcPr>
          <w:p>
            <w:r/>
            <w:r>
              <w:rPr>
                <w:b w:val="0"/>
                <w:sz w:val="18"/>
              </w:rPr>
              <w:t>LSTMBaseline</w:t>
            </w:r>
          </w:p>
        </w:tc>
        <w:tc>
          <w:tcPr>
            <w:tcW w:type="dxa" w:w="864"/>
          </w:tcPr>
          <w:p>
            <w:r/>
            <w:r>
              <w:rPr>
                <w:b w:val="0"/>
                <w:sz w:val="18"/>
              </w:rPr>
              <w:t>L=1</w:t>
            </w:r>
          </w:p>
        </w:tc>
        <w:tc>
          <w:tcPr>
            <w:tcW w:type="dxa" w:w="864"/>
          </w:tcPr>
          <w:p>
            <w:r/>
            <w:r>
              <w:rPr>
                <w:b w:val="0"/>
                <w:sz w:val="18"/>
              </w:rPr>
              <w:t>2e-4</w:t>
            </w:r>
          </w:p>
        </w:tc>
        <w:tc>
          <w:tcPr>
            <w:tcW w:type="dxa" w:w="864"/>
          </w:tcPr>
          <w:p>
            <w:r/>
            <w:r>
              <w:rPr>
                <w:b w:val="0"/>
                <w:sz w:val="18"/>
              </w:rPr>
              <w:t>-2.21</w:t>
            </w:r>
          </w:p>
        </w:tc>
        <w:tc>
          <w:tcPr>
            <w:tcW w:type="dxa" w:w="864"/>
          </w:tcPr>
          <w:p>
            <w:r/>
            <w:r>
              <w:rPr>
                <w:b w:val="0"/>
                <w:sz w:val="18"/>
              </w:rPr>
              <w:t>-0.12</w:t>
            </w:r>
          </w:p>
        </w:tc>
        <w:tc>
          <w:tcPr>
            <w:tcW w:type="dxa" w:w="864"/>
          </w:tcPr>
          <w:p>
            <w:r/>
            <w:r>
              <w:rPr>
                <w:b w:val="0"/>
                <w:sz w:val="18"/>
              </w:rPr>
              <w:t>0.77</w:t>
            </w:r>
          </w:p>
        </w:tc>
        <w:tc>
          <w:tcPr>
            <w:tcW w:type="dxa" w:w="864"/>
          </w:tcPr>
          <w:p>
            <w:r/>
            <w:r>
              <w:rPr>
                <w:b w:val="0"/>
                <w:sz w:val="18"/>
              </w:rPr>
              <w:t>0.66</w:t>
            </w:r>
          </w:p>
        </w:tc>
        <w:tc>
          <w:tcPr>
            <w:tcW w:type="dxa" w:w="864"/>
          </w:tcPr>
          <w:p>
            <w:r/>
            <w:r>
              <w:rPr>
                <w:b w:val="0"/>
                <w:sz w:val="18"/>
              </w:rPr>
              <w:t>—</w:t>
            </w:r>
          </w:p>
        </w:tc>
        <w:tc>
          <w:tcPr>
            <w:tcW w:type="dxa" w:w="864"/>
            <w:shd w:fill="FFFF00"/>
          </w:tcPr>
          <w:p>
            <w:r/>
            <w:r>
              <w:rPr>
                <w:b w:val="0"/>
                <w:sz w:val="18"/>
              </w:rPr>
              <w:t>—</w:t>
            </w:r>
          </w:p>
        </w:tc>
        <w:tc>
          <w:tcPr>
            <w:tcW w:type="dxa" w:w="864"/>
            <w:shd w:fill="FFFF00"/>
          </w:tcPr>
          <w:p>
            <w:r/>
            <w:r>
              <w:rPr>
                <w:b w:val="0"/>
                <w:sz w:val="18"/>
              </w:rPr>
              <w:t>—</w:t>
            </w:r>
          </w:p>
        </w:tc>
      </w:tr>
      <w:tr>
        <w:tc>
          <w:tcPr>
            <w:tcW w:type="dxa" w:w="864"/>
          </w:tcPr>
          <w:p>
            <w:r/>
            <w:r>
              <w:rPr>
                <w:b w:val="0"/>
                <w:sz w:val="18"/>
              </w:rPr>
              <w:t>TSMixer</w:t>
            </w:r>
          </w:p>
        </w:tc>
        <w:tc>
          <w:tcPr>
            <w:tcW w:type="dxa" w:w="864"/>
          </w:tcPr>
          <w:p>
            <w:r/>
            <w:r>
              <w:rPr>
                <w:b w:val="0"/>
                <w:sz w:val="18"/>
              </w:rPr>
              <w:t>L=1</w:t>
            </w:r>
          </w:p>
        </w:tc>
        <w:tc>
          <w:tcPr>
            <w:tcW w:type="dxa" w:w="864"/>
          </w:tcPr>
          <w:p>
            <w:r/>
            <w:r>
              <w:rPr>
                <w:b w:val="0"/>
                <w:sz w:val="18"/>
              </w:rPr>
              <w:t>1e-2</w:t>
            </w:r>
          </w:p>
        </w:tc>
        <w:tc>
          <w:tcPr>
            <w:tcW w:type="dxa" w:w="864"/>
          </w:tcPr>
          <w:p>
            <w:r/>
            <w:r>
              <w:rPr>
                <w:b w:val="0"/>
                <w:sz w:val="18"/>
              </w:rPr>
              <w:t>0.21</w:t>
            </w:r>
          </w:p>
        </w:tc>
        <w:tc>
          <w:tcPr>
            <w:tcW w:type="dxa" w:w="864"/>
          </w:tcPr>
          <w:p>
            <w:r/>
            <w:r>
              <w:rPr>
                <w:b w:val="0"/>
                <w:sz w:val="18"/>
              </w:rPr>
              <w:t>0.70</w:t>
            </w:r>
          </w:p>
        </w:tc>
        <w:tc>
          <w:tcPr>
            <w:tcW w:type="dxa" w:w="864"/>
          </w:tcPr>
          <w:p>
            <w:r/>
            <w:r>
              <w:rPr>
                <w:b w:val="0"/>
                <w:sz w:val="18"/>
              </w:rPr>
              <w:t>0.91</w:t>
            </w:r>
          </w:p>
        </w:tc>
        <w:tc>
          <w:tcPr>
            <w:tcW w:type="dxa" w:w="864"/>
          </w:tcPr>
          <w:p>
            <w:r/>
            <w:r>
              <w:rPr>
                <w:b w:val="0"/>
                <w:sz w:val="18"/>
              </w:rPr>
              <w:t>0.89</w:t>
            </w:r>
          </w:p>
        </w:tc>
        <w:tc>
          <w:tcPr>
            <w:tcW w:type="dxa" w:w="864"/>
          </w:tcPr>
          <w:p>
            <w:r/>
            <w:r>
              <w:rPr>
                <w:b w:val="0"/>
                <w:sz w:val="18"/>
              </w:rPr>
              <w:t>—</w:t>
            </w:r>
          </w:p>
        </w:tc>
        <w:tc>
          <w:tcPr>
            <w:tcW w:type="dxa" w:w="864"/>
            <w:shd w:fill="FFFF00"/>
          </w:tcPr>
          <w:p>
            <w:r/>
            <w:r>
              <w:rPr>
                <w:b w:val="0"/>
                <w:sz w:val="18"/>
              </w:rPr>
              <w:t>—</w:t>
            </w:r>
          </w:p>
        </w:tc>
        <w:tc>
          <w:tcPr>
            <w:tcW w:type="dxa" w:w="864"/>
            <w:shd w:fill="FFFF00"/>
          </w:tcPr>
          <w:p>
            <w:r/>
            <w:r>
              <w:rPr>
                <w:b w:val="0"/>
                <w:sz w:val="18"/>
              </w:rPr>
              <w:t>—</w:t>
            </w:r>
          </w:p>
        </w:tc>
      </w:tr>
      <w:tr>
        <w:tc>
          <w:tcPr>
            <w:tcW w:type="dxa" w:w="864"/>
          </w:tcPr>
          <w:p>
            <w:r/>
            <w:r>
              <w:rPr>
                <w:b w:val="0"/>
                <w:sz w:val="18"/>
              </w:rPr>
              <w:t>TFT（本文）</w:t>
            </w:r>
          </w:p>
        </w:tc>
        <w:tc>
          <w:tcPr>
            <w:tcW w:type="dxa" w:w="864"/>
          </w:tcPr>
          <w:p>
            <w:r/>
            <w:r>
              <w:rPr>
                <w:b w:val="0"/>
                <w:sz w:val="18"/>
              </w:rPr>
              <w:t>L=1</w:t>
            </w:r>
          </w:p>
        </w:tc>
        <w:tc>
          <w:tcPr>
            <w:tcW w:type="dxa" w:w="864"/>
            <w:shd w:fill="FFFF00"/>
          </w:tcPr>
          <w:p>
            <w:r/>
            <w:r>
              <w:rPr>
                <w:b w:val="0"/>
                <w:sz w:val="18"/>
              </w:rPr>
              <w:t>3e-4</w:t>
            </w:r>
          </w:p>
        </w:tc>
        <w:tc>
          <w:tcPr>
            <w:tcW w:type="dxa" w:w="864"/>
            <w:shd w:fill="FFFF00"/>
          </w:tcPr>
          <w:p>
            <w:r/>
            <w:r>
              <w:rPr>
                <w:b w:val="0"/>
                <w:sz w:val="18"/>
              </w:rPr>
              <w:t>0.79</w:t>
            </w:r>
          </w:p>
        </w:tc>
        <w:tc>
          <w:tcPr>
            <w:tcW w:type="dxa" w:w="864"/>
            <w:shd w:fill="FFFF00"/>
          </w:tcPr>
          <w:p>
            <w:r/>
            <w:r>
              <w:rPr>
                <w:b w:val="0"/>
                <w:sz w:val="18"/>
              </w:rPr>
              <w:t>0.90</w:t>
            </w:r>
          </w:p>
        </w:tc>
        <w:tc>
          <w:tcPr>
            <w:tcW w:type="dxa" w:w="864"/>
          </w:tcPr>
          <w:p>
            <w:r/>
            <w:r>
              <w:rPr>
                <w:b w:val="0"/>
                <w:sz w:val="18"/>
              </w:rPr>
              <w:t>0.93</w:t>
            </w:r>
          </w:p>
        </w:tc>
        <w:tc>
          <w:tcPr>
            <w:tcW w:type="dxa" w:w="864"/>
          </w:tcPr>
          <w:p>
            <w:r/>
            <w:r>
              <w:rPr>
                <w:b w:val="0"/>
                <w:sz w:val="18"/>
              </w:rPr>
              <w:t>0.93</w:t>
            </w:r>
          </w:p>
        </w:tc>
        <w:tc>
          <w:tcPr>
            <w:tcW w:type="dxa" w:w="864"/>
          </w:tcPr>
          <w:p>
            <w:r/>
            <w:r>
              <w:rPr>
                <w:b w:val="0"/>
                <w:sz w:val="18"/>
              </w:rPr>
              <w:t>0.006</w:t>
            </w:r>
          </w:p>
        </w:tc>
        <w:tc>
          <w:tcPr>
            <w:tcW w:type="dxa" w:w="864"/>
            <w:shd w:fill="FFFF00"/>
          </w:tcPr>
          <w:p>
            <w:r/>
            <w:r>
              <w:rPr>
                <w:b w:val="0"/>
                <w:sz w:val="18"/>
              </w:rPr>
              <w:t>0.004</w:t>
            </w:r>
          </w:p>
        </w:tc>
        <w:tc>
          <w:tcPr>
            <w:tcW w:type="dxa" w:w="864"/>
            <w:shd w:fill="FFFF00"/>
          </w:tcPr>
          <w:p>
            <w:r/>
            <w:r>
              <w:rPr>
                <w:b w:val="0"/>
                <w:sz w:val="18"/>
              </w:rPr>
              <w:t>0.13</w:t>
            </w:r>
          </w:p>
        </w:tc>
      </w:tr>
      <w:tr>
        <w:tc>
          <w:tcPr>
            <w:tcW w:type="dxa" w:w="864"/>
          </w:tcPr>
          <w:p>
            <w:r/>
            <w:r>
              <w:rPr>
                <w:b w:val="0"/>
                <w:sz w:val="18"/>
              </w:rPr>
              <w:t>*DLinear requires L&gt;=5 for decomposition; evaluated at L=10 (572 samples). Others use L=1+lag (1725 samples).</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p>
      <w:pPr/>
      <w:r>
        <w:rPr>
          <w:highlight w:val="FFFF00"/>
        </w:rPr>
        <w:t>FC1消融结果与FC2形成系统性对比，&lt;AI&gt;主要发现如下&lt;/AI&gt;：</w:t>
      </w:r>
      <w:r>
        <w:rPr>
          <w:highlight w:val="FFFF00"/>
        </w:rPr>
        <w:t>FC1消融结果与FC2形成系统性对比，&lt;AI&gt;主要发现如下&lt;/AI&gt;：</w:t>
      </w:r>
    </w:p>
    <w:p>
      <w:pPr/>
      <w:r/>
      <w:r>
        <w:rPr>
          <w:b/>
        </w:rPr>
        <w:t>（1）工况类型决定最优模型架构。</w:t>
      </w:r>
      <w:r>
        <w:t xml:space="preserve"> </w:t>
      </w:r>
      <w:r>
        <w:rPr>
          <w:highlight w:val="FFFF00"/>
        </w:rPr>
        <w:t>FC1准静态工况下，DLinear（L=10）以0.65的Min R²和0.91的Mean R²位居第二，仅次于TFT——AvgPool1d的趋势分解在平滑电压曲线上表现优异。但同一DLinear在FC2纹波工况下R²=-4.3——趋势分解在非平稳数据上完全失效。反之，TSMixer在FC1上Min R²=0.21（训练极不稳定），在FC2上飙升至0.95——纯MLP需要数据的动态变化来学习有效映射。两种模型在两种工况上的表现完全反转，说明"最优架构"不是绝对的，而是取决于数据特性。</w:t>
      </w:r>
      <w:r>
        <w:rPr>
          <w:highlight w:val="FFFF00"/>
        </w:rPr>
        <w:t>FC1准静态工况下，DLinear（L=10）以0.65的Min R²和0.91的Mean R²位居第二，仅次于TFT——AvgPool1d的趋势分解在平滑电压曲线上表现优异。但同一DLinear在FC2纹波工况下R²=-4.3——趋势分解在非平稳数据上完全失效。反之，TSMixer在FC1上Min R²=0.21（训练极不稳定），在FC2上飙升至0.95——纯MLP需要数据的动态变化来学习有效映射。两种模型在两种工况上的表现完全反转，说明"最优架构"不是绝对的，而是取决于数据特性。</w:t>
      </w:r>
    </w:p>
    <w:p>
      <w:pPr/>
      <w:r/>
      <w:r>
        <w:rPr>
          <w:b/>
        </w:rPr>
        <w:t>（2）TFT是唯一在两种工况下均保持正R²的模型。</w:t>
      </w:r>
      <w:r>
        <w:t xml:space="preserve"> 在FC1上，TFT的Min R²=0.79是唯一在所有50次训练中均未出现发散（R²&lt;0）的模型（DLinear因样本量优势也未发散，但其对工况类型敏感）。在FC2上，TFT的Min R²=0.89同样保持高度稳定。这种跨工况的训练稳定性归因于GRN的残差连接——即使门控在不利初始化下饱和，跳跃连接仍传递原始信息，避免了梯度完全消失。</w:t>
      </w:r>
    </w:p>
    <w:p>
      <w:pPr/>
      <w:r/>
      <w:r>
        <w:rPr>
          <w:b/>
        </w:rPr>
        <w:t>（3）ResMLP的LayerNorm缺陷在两种工况下一致。</w:t>
      </w:r>
      <w:r>
        <w:t xml:space="preserve"> ResMLP在FC1（Min=-12.88）和FC2（Min=0.21）上均排名末位——LayerNorm对MinMax归一化数据的破坏不受工况影响。这从反面验证了TFT Variable Selection的设计合理性——通过sigmoid软权重而非统计归一化来调节特征贡献。</w:t>
      </w:r>
    </w:p>
    <w:p>
      <w:pPr/>
      <w:r/>
      <w:r>
        <w:rPr>
          <w:b/>
        </w:rPr>
        <w:t>（4）纯LSTM的方差问题在FC2上大幅缓解。</w:t>
      </w:r>
      <w:r>
        <w:t xml:space="preserve"> </w:t>
      </w:r>
      <w:r>
        <w:rPr>
          <w:highlight w:val="FFFF00"/>
        </w:rPr>
        <w:t>LSTM在FC1上Min R²=-2.21，在FC2上Min R²=0.83。准静态条件下传感器读数近乎恒定，LSTM的门控机制"无米下炊"——输入信息本身缺乏足够的变化来驱动遗忘门和输入门的有效运作。纹波条件下传感器的动态波动为门控提供了丰富的学习信号。</w:t>
      </w:r>
      <w:r>
        <w:rPr>
          <w:highlight w:val="FFFF00"/>
        </w:rPr>
        <w:t>LSTM在FC1上Min R²=-2.21，在FC2上Min R²=0.83。准静态条件下传感器读数近乎恒定，LSTM的门控机制"无米下炊"——输入信息本身缺乏足够的变化来驱动遗忘门和输入门的有效运作。纹波条件下传感器的动态波动为门控提供了丰富的学习信号。</w:t>
      </w:r>
    </w:p>
    <w:p>
      <w:pPr>
        <w:pStyle w:val="Heading3"/>
      </w:pPr>
      <w:r>
        <w:t>5.3.2 TFT在FC1上的详细性能</w:t>
      </w:r>
    </w:p>
    <w:p>
      <w:pPr/>
      <w:r>
        <w:t>图6展示了TFT在FC1上最佳模型的预测结果。</w:t>
      </w:r>
    </w:p>
    <w:p>
      <w:r>
        <w:rPr>
          <w:i/>
          <w:color w:val="808080"/>
          <w:sz w:val="20"/>
        </w:rPr>
        <w:t>[此处插入图6: FC1测试集预测电压vs真实电压曲线 (prediction_vs_true.png)]</w:t>
      </w:r>
    </w:p>
    <w:p>
      <w:pPr/>
      <w:r>
        <w:t>在测试集（占总数据40%，约460小时）上，预测曲线与真实电压高度吻合（R²=0.93，RMSE=0.006V）。预测误差在测试集末期略有增大。</w:t>
      </w:r>
    </w:p>
    <w:p>
      <w:r>
        <w:rPr>
          <w:i/>
          <w:color w:val="808080"/>
          <w:sz w:val="20"/>
        </w:rPr>
        <w:t>[此处插入图7: FC1测试集预测散点图 True vs Predicted (scatter_true_vs_pred.png)]</w:t>
      </w:r>
    </w:p>
    <w:p>
      <w:pPr>
        <w:pStyle w:val="Heading3"/>
      </w:pPr>
      <w:r>
        <w:t>5.3.3 工况对比总结</w:t>
      </w:r>
    </w:p>
    <w:p>
      <w:pPr/>
      <w:r>
        <w:rPr>
          <w:highlight w:val="FFFF00"/>
        </w:rPr>
        <w:t>表7汇总了两种工况下的最优配置对比。</w:t>
      </w:r>
      <w:r>
        <w:rPr>
          <w:highlight w:val="FFFF00"/>
        </w:rPr>
        <w:t>表7汇总了两种工况下的最优配置对比。</w:t>
      </w:r>
    </w:p>
    <w:p>
      <w:pPr/>
      <w:r/>
      <w:r>
        <w:rPr>
          <w:b/>
        </w:rPr>
        <w:t>[此处插入表7: FC1与FC2最优配置对比]</w:t>
      </w:r>
      <w:r/>
    </w:p>
    <w:p>
      <w:pPr/>
      <w:r/>
      <w:r>
        <w:rPr>
          <w:b/>
        </w:rPr>
        <w:t>表7 FC1与FC2最优配置对比</w:t>
      </w:r>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fill="D9E2F3"/>
          </w:tcPr>
          <w:p>
            <w:r/>
            <w:r>
              <w:rPr>
                <w:b/>
                <w:sz w:val="18"/>
              </w:rPr>
              <w:t>工况</w:t>
            </w:r>
          </w:p>
        </w:tc>
        <w:tc>
          <w:tcPr>
            <w:tcW w:type="dxa" w:w="1440"/>
            <w:shd w:fill="D9E2F3"/>
          </w:tcPr>
          <w:p>
            <w:r/>
            <w:r>
              <w:rPr>
                <w:b/>
                <w:sz w:val="18"/>
              </w:rPr>
              <w:t>最优采样</w:t>
            </w:r>
          </w:p>
        </w:tc>
        <w:tc>
          <w:tcPr>
            <w:tcW w:type="dxa" w:w="1440"/>
            <w:shd w:fill="D9E2F3"/>
          </w:tcPr>
          <w:p>
            <w:r/>
            <w:r>
              <w:rPr>
                <w:b/>
                <w:sz w:val="18"/>
              </w:rPr>
              <w:t>Min R2</w:t>
            </w:r>
          </w:p>
        </w:tc>
        <w:tc>
          <w:tcPr>
            <w:tcW w:type="dxa" w:w="1440"/>
            <w:shd w:fill="D9E2F3"/>
          </w:tcPr>
          <w:p>
            <w:r/>
            <w:r>
              <w:rPr>
                <w:b/>
                <w:sz w:val="18"/>
              </w:rPr>
              <w:t>Mean R2</w:t>
            </w:r>
          </w:p>
        </w:tc>
        <w:tc>
          <w:tcPr>
            <w:tcW w:type="dxa" w:w="1440"/>
            <w:shd w:fill="D9E2F3"/>
          </w:tcPr>
          <w:p>
            <w:r/>
            <w:r>
              <w:rPr>
                <w:b/>
                <w:sz w:val="18"/>
              </w:rPr>
              <w:t>Max R2</w:t>
            </w:r>
          </w:p>
        </w:tc>
        <w:tc>
          <w:tcPr>
            <w:tcW w:type="dxa" w:w="1440"/>
            <w:shd w:fill="D9E2F3"/>
          </w:tcPr>
          <w:p>
            <w:r/>
            <w:r>
              <w:rPr>
                <w:b/>
                <w:sz w:val="18"/>
              </w:rPr>
              <w:t>Top-5 R2</w:t>
            </w:r>
          </w:p>
        </w:tc>
      </w:tr>
      <w:tr>
        <w:tc>
          <w:tcPr>
            <w:tcW w:type="dxa" w:w="1440"/>
            <w:shd w:fill="FFFF00"/>
          </w:tcPr>
          <w:p>
            <w:r/>
            <w:r>
              <w:rPr>
                <w:b w:val="0"/>
                <w:sz w:val="18"/>
              </w:rPr>
              <w:t>FC2（纹波）</w:t>
            </w:r>
          </w:p>
        </w:tc>
        <w:tc>
          <w:tcPr>
            <w:tcW w:type="dxa" w:w="1440"/>
            <w:shd w:fill="FFFF00"/>
          </w:tcPr>
          <w:p>
            <w:r/>
            <w:r>
              <w:rPr>
                <w:b w:val="0"/>
                <w:sz w:val="18"/>
              </w:rPr>
              <w:t>0.5h</w:t>
            </w:r>
          </w:p>
        </w:tc>
        <w:tc>
          <w:tcPr>
            <w:tcW w:type="dxa" w:w="1440"/>
            <w:shd w:fill="FFFF00"/>
          </w:tcPr>
          <w:p>
            <w:r/>
            <w:r>
              <w:rPr>
                <w:b w:val="0"/>
                <w:sz w:val="18"/>
              </w:rPr>
              <w:t>0.89</w:t>
            </w:r>
          </w:p>
        </w:tc>
        <w:tc>
          <w:tcPr>
            <w:tcW w:type="dxa" w:w="1440"/>
            <w:shd w:fill="FFFF00"/>
          </w:tcPr>
          <w:p>
            <w:r/>
            <w:r>
              <w:rPr>
                <w:b w:val="0"/>
                <w:sz w:val="18"/>
              </w:rPr>
              <w:t>0.95</w:t>
            </w:r>
          </w:p>
        </w:tc>
        <w:tc>
          <w:tcPr>
            <w:tcW w:type="dxa" w:w="1440"/>
            <w:shd w:fill="FFFF00"/>
          </w:tcPr>
          <w:p>
            <w:r/>
            <w:r>
              <w:rPr>
                <w:b w:val="0"/>
                <w:sz w:val="18"/>
              </w:rPr>
              <w:t>0.98</w:t>
            </w:r>
          </w:p>
        </w:tc>
        <w:tc>
          <w:tcPr>
            <w:tcW w:type="dxa" w:w="1440"/>
            <w:shd w:fill="FFFF00"/>
          </w:tcPr>
          <w:p>
            <w:r/>
            <w:r>
              <w:rPr>
                <w:b w:val="0"/>
                <w:sz w:val="18"/>
              </w:rPr>
              <w:t>0.98</w:t>
            </w:r>
          </w:p>
        </w:tc>
      </w:tr>
      <w:tr>
        <w:tc>
          <w:tcPr>
            <w:tcW w:type="dxa" w:w="1440"/>
          </w:tcPr>
          <w:p>
            <w:r/>
            <w:r>
              <w:rPr>
                <w:b w:val="0"/>
                <w:sz w:val="18"/>
              </w:rPr>
              <w:t>FC1（准静态）</w:t>
            </w:r>
          </w:p>
        </w:tc>
        <w:tc>
          <w:tcPr>
            <w:tcW w:type="dxa" w:w="1440"/>
          </w:tcPr>
          <w:p>
            <w:r/>
            <w:r>
              <w:rPr>
                <w:b w:val="0"/>
                <w:sz w:val="18"/>
              </w:rPr>
              <w:t>1h</w:t>
            </w:r>
          </w:p>
        </w:tc>
        <w:tc>
          <w:tcPr>
            <w:tcW w:type="dxa" w:w="1440"/>
            <w:shd w:fill="FFFF00"/>
          </w:tcPr>
          <w:p>
            <w:r/>
            <w:r>
              <w:rPr>
                <w:b w:val="0"/>
                <w:sz w:val="18"/>
              </w:rPr>
              <w:t>0.79</w:t>
            </w:r>
          </w:p>
        </w:tc>
        <w:tc>
          <w:tcPr>
            <w:tcW w:type="dxa" w:w="1440"/>
            <w:shd w:fill="FFFF00"/>
          </w:tcPr>
          <w:p>
            <w:r/>
            <w:r>
              <w:rPr>
                <w:b w:val="0"/>
                <w:sz w:val="18"/>
              </w:rPr>
              <w:t>0.90</w:t>
            </w:r>
          </w:p>
        </w:tc>
        <w:tc>
          <w:tcPr>
            <w:tcW w:type="dxa" w:w="1440"/>
          </w:tcPr>
          <w:p>
            <w:r/>
            <w:r>
              <w:rPr>
                <w:b w:val="0"/>
                <w:sz w:val="18"/>
              </w:rPr>
              <w:t>0.93</w:t>
            </w:r>
          </w:p>
        </w:tc>
        <w:tc>
          <w:tcPr>
            <w:tcW w:type="dxa" w:w="1440"/>
          </w:tcPr>
          <w:p>
            <w:r/>
            <w:r>
              <w:rPr>
                <w:b w:val="0"/>
                <w:sz w:val="18"/>
              </w:rPr>
              <w:t>0.93</w:t>
            </w:r>
          </w:p>
        </w:tc>
      </w:tr>
    </w:tbl>
    <w:p/>
    <w:p>
      <w:pPr/>
      <w:r>
        <w:rPr>
          <w:highlight w:val="FFFF00"/>
        </w:rPr>
        <w:t>FC2在所有指标上均优于FC1——Min R²高出0.10，Mean R²高出0.05。两种工况的最优采样间隔不同：FC1在0.5h采样下性能反而下降（Min R²降至0.43）——准静态条件下过密采样导致相邻样本高度重复，TFT的Variable Selection学到的是"所有传感器都没变化所以都不重要"，sigmoid权重趋向饱和；FC2在0.5h下获得额外增益——纹波工况的信息密度更高，需要更密采样来捕获负载波动的细节。</w:t>
      </w:r>
      <w:r>
        <w:rPr>
          <w:highlight w:val="FFFF00"/>
        </w:rPr>
        <w:t>FC2在所有指标上均优于FC1——Min R²高出0.10，Mean R²高出0.05。两种工况的最优采样间隔不同：FC1在0.5h采样下性能反而下降（Min R²降至0.43）——准静态条件下过密采样导致相邻样本高度重复，TFT的Variable Selection学到的是"所有传感器都没变化所以都不重要"，sigmoid权重趋向饱和；FC2在0.5h下获得额外增益——纹波工况的信息密度更高，需要更密采样来捕获负载波动的细节。</w:t>
      </w:r>
    </w:p>
    <w:p>
      <w:pPr>
        <w:pStyle w:val="Heading2"/>
      </w:pPr>
      <w:r>
        <w:t>5.4 特征重要性分析</w:t>
      </w:r>
    </w:p>
    <w:p>
      <w:pPr>
        <w:pStyle w:val="Heading3"/>
      </w:pPr>
      <w:r>
        <w:t>5.4.1 Spearman + RF双重筛选</w:t>
      </w:r>
    </w:p>
    <w:p>
      <w:pPr/>
      <w:r>
        <w:rPr>
          <w:highlight w:val="FFFF00"/>
        </w:rPr>
        <w:t>图8展示了24个传感器与目标变量Utot的Spearman相关系数排名（以FC2为例；FC1结果类同）。</w:t>
      </w:r>
      <w:r>
        <w:rPr>
          <w:highlight w:val="FFFF00"/>
        </w:rPr>
        <w:t>图8展示了24个传感器与目标变量Utot的Spearman相关系数排名（以FC2为例；FC1结果类同）。</w:t>
      </w:r>
    </w:p>
    <w:p>
      <w:r>
        <w:rPr>
          <w:i/>
          <w:color w:val="808080"/>
          <w:sz w:val="20"/>
        </w:rPr>
        <w:t>[此处插入图8: RF与Spearman特征重要性双栏对比 (feature_importance_comparison.png)]</w:t>
      </w:r>
    </w:p>
    <w:p>
      <w:pPr/>
      <w:r>
        <w:t>单电池电压（U1-U5，ρ&gt;0.99）和总电压（Utot，ρ=1.00）与目标高度相关，印证了电压类传感器是退化状态的核心表征。电流密度（J，ρ≈-0.39）和电流（I，ρ≈-0.39）呈中等负相关——高负载下电压因欧姆损失降低。流量和压力类传感器与Utot的Spearman |ρ|多数在0.4以下（DoutAIR和PoutAIR为显著例外），说明其对电压的直接线性解释力较弱。</w:t>
      </w:r>
    </w:p>
    <w:p>
      <w:pPr/>
      <w:r>
        <w:t>Random Forest（200棵树，深度10）的Gini重要性排名与Spearman高度一致（表8）。Top-5传感器均为单电池电压，重要性总和占全部24个传感器的85%以上。</w:t>
      </w:r>
    </w:p>
    <w:p>
      <w:pPr/>
      <w:r/>
      <w:r>
        <w:rPr>
          <w:b/>
        </w:rPr>
        <w:t>[此处插入表8: 特征重要性Top-10 — Spearman与RF对比（FC2）]</w:t>
      </w:r>
      <w:r/>
    </w:p>
    <w:p>
      <w:pPr/>
      <w:r/>
      <w:r>
        <w:rPr>
          <w:b/>
        </w:rPr>
        <w:t>表8 特征重要性Top-10（FC2）</w:t>
      </w:r>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D9E2F3"/>
          </w:tcPr>
          <w:p>
            <w:r/>
            <w:r>
              <w:rPr>
                <w:b/>
                <w:sz w:val="18"/>
              </w:rPr>
              <w:t>排名</w:t>
            </w:r>
          </w:p>
        </w:tc>
        <w:tc>
          <w:tcPr>
            <w:tcW w:type="dxa" w:w="2880"/>
            <w:shd w:fill="D9E2F3"/>
          </w:tcPr>
          <w:p>
            <w:r/>
            <w:r>
              <w:rPr>
                <w:b/>
                <w:sz w:val="18"/>
              </w:rPr>
              <w:t>Spearman</w:t>
            </w:r>
          </w:p>
        </w:tc>
        <w:tc>
          <w:tcPr>
            <w:tcW w:type="dxa" w:w="2880"/>
            <w:shd w:fill="D9E2F3"/>
          </w:tcPr>
          <w:p>
            <w:r/>
            <w:r>
              <w:rPr>
                <w:b/>
                <w:sz w:val="18"/>
              </w:rPr>
              <w:t>RF</w:t>
            </w:r>
          </w:p>
        </w:tc>
      </w:tr>
      <w:tr>
        <w:tc>
          <w:tcPr>
            <w:tcW w:type="dxa" w:w="2880"/>
          </w:tcPr>
          <w:p>
            <w:r/>
            <w:r>
              <w:rPr>
                <w:b w:val="0"/>
                <w:sz w:val="18"/>
              </w:rPr>
              <w:t>传感器</w:t>
            </w:r>
          </w:p>
        </w:tc>
        <w:tc>
          <w:tcPr>
            <w:tcW w:type="dxa" w:w="2880"/>
          </w:tcPr>
          <w:p>
            <w:r/>
            <w:r>
              <w:rPr>
                <w:b w:val="0"/>
                <w:sz w:val="18"/>
              </w:rPr>
              <w:t>ρ</w:t>
            </w:r>
          </w:p>
        </w:tc>
        <w:tc>
          <w:tcPr>
            <w:tcW w:type="dxa" w:w="2880"/>
          </w:tcPr>
          <w:p>
            <w:r/>
            <w:r>
              <w:rPr>
                <w:b w:val="0"/>
                <w:sz w:val="18"/>
              </w:rPr>
              <w:t>传感器</w:t>
            </w:r>
          </w:p>
        </w:tc>
      </w:tr>
      <w:tr>
        <w:tc>
          <w:tcPr>
            <w:tcW w:type="dxa" w:w="2880"/>
          </w:tcPr>
          <w:p>
            <w:r/>
            <w:r>
              <w:rPr>
                <w:b w:val="0"/>
                <w:sz w:val="18"/>
              </w:rPr>
              <w:t>1</w:t>
            </w:r>
          </w:p>
        </w:tc>
        <w:tc>
          <w:tcPr>
            <w:tcW w:type="dxa" w:w="2880"/>
          </w:tcPr>
          <w:p>
            <w:r/>
            <w:r>
              <w:rPr>
                <w:b w:val="0"/>
                <w:sz w:val="18"/>
              </w:rPr>
              <w:t>Utot(V)</w:t>
            </w:r>
          </w:p>
        </w:tc>
        <w:tc>
          <w:tcPr>
            <w:tcW w:type="dxa" w:w="2880"/>
          </w:tcPr>
          <w:p>
            <w:r/>
            <w:r>
              <w:rPr>
                <w:b w:val="0"/>
                <w:sz w:val="18"/>
              </w:rPr>
              <w:t>1.000</w:t>
            </w:r>
          </w:p>
        </w:tc>
      </w:tr>
      <w:tr>
        <w:tc>
          <w:tcPr>
            <w:tcW w:type="dxa" w:w="2880"/>
          </w:tcPr>
          <w:p>
            <w:r/>
            <w:r>
              <w:rPr>
                <w:b w:val="0"/>
                <w:sz w:val="18"/>
              </w:rPr>
              <w:t>2</w:t>
            </w:r>
          </w:p>
        </w:tc>
        <w:tc>
          <w:tcPr>
            <w:tcW w:type="dxa" w:w="2880"/>
          </w:tcPr>
          <w:p>
            <w:r/>
            <w:r>
              <w:rPr>
                <w:b w:val="0"/>
                <w:sz w:val="18"/>
              </w:rPr>
              <w:t>U3(V)</w:t>
            </w:r>
          </w:p>
        </w:tc>
        <w:tc>
          <w:tcPr>
            <w:tcW w:type="dxa" w:w="2880"/>
          </w:tcPr>
          <w:p>
            <w:r/>
            <w:r>
              <w:rPr>
                <w:b w:val="0"/>
                <w:sz w:val="18"/>
              </w:rPr>
              <w:t>0.999</w:t>
            </w:r>
          </w:p>
        </w:tc>
      </w:tr>
      <w:tr>
        <w:tc>
          <w:tcPr>
            <w:tcW w:type="dxa" w:w="2880"/>
          </w:tcPr>
          <w:p>
            <w:r/>
            <w:r>
              <w:rPr>
                <w:b w:val="0"/>
                <w:sz w:val="18"/>
              </w:rPr>
              <w:t>3</w:t>
            </w:r>
          </w:p>
        </w:tc>
        <w:tc>
          <w:tcPr>
            <w:tcW w:type="dxa" w:w="2880"/>
          </w:tcPr>
          <w:p>
            <w:r/>
            <w:r>
              <w:rPr>
                <w:b w:val="0"/>
                <w:sz w:val="18"/>
              </w:rPr>
              <w:t>U2(V)</w:t>
            </w:r>
          </w:p>
        </w:tc>
        <w:tc>
          <w:tcPr>
            <w:tcW w:type="dxa" w:w="2880"/>
          </w:tcPr>
          <w:p>
            <w:r/>
            <w:r>
              <w:rPr>
                <w:b w:val="0"/>
                <w:sz w:val="18"/>
              </w:rPr>
              <w:t>0.998</w:t>
            </w:r>
          </w:p>
        </w:tc>
      </w:tr>
      <w:tr>
        <w:tc>
          <w:tcPr>
            <w:tcW w:type="dxa" w:w="2880"/>
          </w:tcPr>
          <w:p>
            <w:r/>
            <w:r>
              <w:rPr>
                <w:b w:val="0"/>
                <w:sz w:val="18"/>
              </w:rPr>
              <w:t>4</w:t>
            </w:r>
          </w:p>
        </w:tc>
        <w:tc>
          <w:tcPr>
            <w:tcW w:type="dxa" w:w="2880"/>
          </w:tcPr>
          <w:p>
            <w:r/>
            <w:r>
              <w:rPr>
                <w:b w:val="0"/>
                <w:sz w:val="18"/>
              </w:rPr>
              <w:t>U5(V)</w:t>
            </w:r>
          </w:p>
        </w:tc>
        <w:tc>
          <w:tcPr>
            <w:tcW w:type="dxa" w:w="2880"/>
          </w:tcPr>
          <w:p>
            <w:r/>
            <w:r>
              <w:rPr>
                <w:b w:val="0"/>
                <w:sz w:val="18"/>
              </w:rPr>
              <w:t>0.998</w:t>
            </w:r>
          </w:p>
        </w:tc>
      </w:tr>
      <w:tr>
        <w:tc>
          <w:tcPr>
            <w:tcW w:type="dxa" w:w="2880"/>
          </w:tcPr>
          <w:p>
            <w:r/>
            <w:r>
              <w:rPr>
                <w:b w:val="0"/>
                <w:sz w:val="18"/>
              </w:rPr>
              <w:t>5</w:t>
            </w:r>
          </w:p>
        </w:tc>
        <w:tc>
          <w:tcPr>
            <w:tcW w:type="dxa" w:w="2880"/>
          </w:tcPr>
          <w:p>
            <w:r/>
            <w:r>
              <w:rPr>
                <w:b w:val="0"/>
                <w:sz w:val="18"/>
              </w:rPr>
              <w:t>U4(V)</w:t>
            </w:r>
          </w:p>
        </w:tc>
        <w:tc>
          <w:tcPr>
            <w:tcW w:type="dxa" w:w="2880"/>
          </w:tcPr>
          <w:p>
            <w:r/>
            <w:r>
              <w:rPr>
                <w:b w:val="0"/>
                <w:sz w:val="18"/>
              </w:rPr>
              <w:t>0.995</w:t>
            </w:r>
          </w:p>
        </w:tc>
      </w:tr>
      <w:tr>
        <w:tc>
          <w:tcPr>
            <w:tcW w:type="dxa" w:w="2880"/>
          </w:tcPr>
          <w:p>
            <w:r/>
            <w:r>
              <w:rPr>
                <w:b w:val="0"/>
                <w:sz w:val="18"/>
              </w:rPr>
              <w:t>6</w:t>
            </w:r>
          </w:p>
        </w:tc>
        <w:tc>
          <w:tcPr>
            <w:tcW w:type="dxa" w:w="2880"/>
          </w:tcPr>
          <w:p>
            <w:r/>
            <w:r>
              <w:rPr>
                <w:b w:val="0"/>
                <w:sz w:val="18"/>
              </w:rPr>
              <w:t>U1(V)</w:t>
            </w:r>
          </w:p>
        </w:tc>
        <w:tc>
          <w:tcPr>
            <w:tcW w:type="dxa" w:w="2880"/>
          </w:tcPr>
          <w:p>
            <w:r/>
            <w:r>
              <w:rPr>
                <w:b w:val="0"/>
                <w:sz w:val="18"/>
              </w:rPr>
              <w:t>0.991</w:t>
            </w:r>
          </w:p>
        </w:tc>
      </w:tr>
      <w:tr>
        <w:tc>
          <w:tcPr>
            <w:tcW w:type="dxa" w:w="2880"/>
          </w:tcPr>
          <w:p>
            <w:r/>
            <w:r>
              <w:rPr>
                <w:b w:val="0"/>
                <w:sz w:val="18"/>
              </w:rPr>
              <w:t>7</w:t>
            </w:r>
          </w:p>
        </w:tc>
        <w:tc>
          <w:tcPr>
            <w:tcW w:type="dxa" w:w="2880"/>
          </w:tcPr>
          <w:p>
            <w:r/>
            <w:r>
              <w:rPr>
                <w:b w:val="0"/>
                <w:sz w:val="18"/>
              </w:rPr>
              <w:t>DoutAIR</w:t>
            </w:r>
          </w:p>
        </w:tc>
        <w:tc>
          <w:tcPr>
            <w:tcW w:type="dxa" w:w="2880"/>
          </w:tcPr>
          <w:p>
            <w:r/>
            <w:r>
              <w:rPr>
                <w:b w:val="0"/>
                <w:sz w:val="18"/>
              </w:rPr>
              <w:t>0.837</w:t>
            </w:r>
          </w:p>
        </w:tc>
      </w:tr>
      <w:tr>
        <w:tc>
          <w:tcPr>
            <w:tcW w:type="dxa" w:w="2880"/>
          </w:tcPr>
          <w:p>
            <w:r/>
            <w:r>
              <w:rPr>
                <w:b w:val="0"/>
                <w:sz w:val="18"/>
              </w:rPr>
              <w:t>8</w:t>
            </w:r>
          </w:p>
        </w:tc>
        <w:tc>
          <w:tcPr>
            <w:tcW w:type="dxa" w:w="2880"/>
          </w:tcPr>
          <w:p>
            <w:r/>
            <w:r>
              <w:rPr>
                <w:b w:val="0"/>
                <w:sz w:val="18"/>
              </w:rPr>
              <w:t>PoutAIR</w:t>
            </w:r>
          </w:p>
        </w:tc>
        <w:tc>
          <w:tcPr>
            <w:tcW w:type="dxa" w:w="2880"/>
          </w:tcPr>
          <w:p>
            <w:r/>
            <w:r>
              <w:rPr>
                <w:b w:val="0"/>
                <w:sz w:val="18"/>
              </w:rPr>
              <w:t>-0.634</w:t>
            </w:r>
          </w:p>
        </w:tc>
      </w:tr>
      <w:tr>
        <w:tc>
          <w:tcPr>
            <w:tcW w:type="dxa" w:w="2880"/>
          </w:tcPr>
          <w:p>
            <w:r/>
            <w:r>
              <w:rPr>
                <w:b w:val="0"/>
                <w:sz w:val="18"/>
              </w:rPr>
              <w:t>9</w:t>
            </w:r>
          </w:p>
        </w:tc>
        <w:tc>
          <w:tcPr>
            <w:tcW w:type="dxa" w:w="2880"/>
          </w:tcPr>
          <w:p>
            <w:r/>
            <w:r>
              <w:rPr>
                <w:b w:val="0"/>
                <w:sz w:val="18"/>
              </w:rPr>
              <w:t>I(A)</w:t>
            </w:r>
          </w:p>
        </w:tc>
        <w:tc>
          <w:tcPr>
            <w:tcW w:type="dxa" w:w="2880"/>
          </w:tcPr>
          <w:p>
            <w:r/>
            <w:r>
              <w:rPr>
                <w:b w:val="0"/>
                <w:sz w:val="18"/>
              </w:rPr>
              <w:t>-0.389</w:t>
            </w:r>
          </w:p>
        </w:tc>
      </w:tr>
      <w:tr>
        <w:tc>
          <w:tcPr>
            <w:tcW w:type="dxa" w:w="2880"/>
          </w:tcPr>
          <w:p>
            <w:r/>
            <w:r>
              <w:rPr>
                <w:b w:val="0"/>
                <w:sz w:val="18"/>
              </w:rPr>
              <w:t>10</w:t>
            </w:r>
          </w:p>
        </w:tc>
        <w:tc>
          <w:tcPr>
            <w:tcW w:type="dxa" w:w="2880"/>
          </w:tcPr>
          <w:p>
            <w:r/>
            <w:r>
              <w:rPr>
                <w:b w:val="0"/>
                <w:sz w:val="18"/>
              </w:rPr>
              <w:t>J(A/cm2)</w:t>
            </w:r>
          </w:p>
        </w:tc>
        <w:tc>
          <w:tcPr>
            <w:tcW w:type="dxa" w:w="2880"/>
          </w:tcPr>
          <w:p>
            <w:r/>
            <w:r>
              <w:rPr>
                <w:b w:val="0"/>
                <w:sz w:val="18"/>
              </w:rPr>
              <w:t>-0.389</w:t>
            </w:r>
          </w:p>
        </w:tc>
      </w:tr>
    </w:tbl>
    <w:p/>
    <w:p>
      <w:pPr/>
      <w:r>
        <w:t>流量和温度类传感器虽然Spearman相关性较弱，但在RF中仍被分配了非零重要性（如DoutAIR在RF中排名第6）——这说明非线性模型（RF）捕获到了一些线性相关无法反映的交互关系。</w:t>
      </w:r>
    </w:p>
    <w:p>
      <w:pPr>
        <w:pStyle w:val="Heading3"/>
      </w:pPr>
      <w:r>
        <w:t>5.4.2 TFT Variable Selection权重</w:t>
      </w:r>
    </w:p>
    <w:p>
      <w:pPr/>
      <w:r>
        <w:t>TFT训练完成后，Variable Selection的sigmoid权重直接给出各传感器对预测的贡献。表9列出了TFT（FC2）学习到的Top-10传感器重要性。</w:t>
      </w:r>
    </w:p>
    <w:p>
      <w:pPr/>
      <w:r/>
      <w:r>
        <w:rPr>
          <w:b/>
        </w:rPr>
        <w:t>[此处插入表9: TFT Variable Selection Top-10权重（FC2）]</w:t>
      </w:r>
      <w:r/>
    </w:p>
    <w:p>
      <w:pPr/>
      <w:r/>
      <w:r>
        <w:rPr>
          <w:b/>
        </w:rPr>
        <w:t>表9 TFT Variable Selection Top-10权重（FC2）</w:t>
      </w:r>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D9E2F3"/>
          </w:tcPr>
          <w:p>
            <w:r/>
            <w:r>
              <w:rPr>
                <w:b/>
                <w:sz w:val="18"/>
              </w:rPr>
              <w:t>排名</w:t>
            </w:r>
          </w:p>
        </w:tc>
        <w:tc>
          <w:tcPr>
            <w:tcW w:type="dxa" w:w="2880"/>
            <w:shd w:fill="D9E2F3"/>
          </w:tcPr>
          <w:p>
            <w:r/>
            <w:r>
              <w:rPr>
                <w:b/>
                <w:sz w:val="18"/>
              </w:rPr>
              <w:t>传感器</w:t>
            </w:r>
          </w:p>
        </w:tc>
        <w:tc>
          <w:tcPr>
            <w:tcW w:type="dxa" w:w="2880"/>
            <w:shd w:fill="D9E2F3"/>
          </w:tcPr>
          <w:p>
            <w:r/>
            <w:r>
              <w:rPr>
                <w:b/>
                <w:sz w:val="18"/>
              </w:rPr>
              <w:t>VS权重</w:t>
            </w:r>
          </w:p>
        </w:tc>
      </w:tr>
      <w:tr>
        <w:tc>
          <w:tcPr>
            <w:tcW w:type="dxa" w:w="2880"/>
          </w:tcPr>
          <w:p>
            <w:r/>
            <w:r>
              <w:rPr>
                <w:b w:val="0"/>
                <w:sz w:val="18"/>
              </w:rPr>
              <w:t>1</w:t>
            </w:r>
          </w:p>
        </w:tc>
        <w:tc>
          <w:tcPr>
            <w:tcW w:type="dxa" w:w="2880"/>
          </w:tcPr>
          <w:p>
            <w:r/>
            <w:r>
              <w:rPr>
                <w:b w:val="0"/>
                <w:sz w:val="18"/>
              </w:rPr>
              <w:t>DoutH2(l/mn)</w:t>
            </w:r>
          </w:p>
        </w:tc>
        <w:tc>
          <w:tcPr>
            <w:tcW w:type="dxa" w:w="2880"/>
          </w:tcPr>
          <w:p>
            <w:r/>
            <w:r>
              <w:rPr>
                <w:b w:val="0"/>
                <w:sz w:val="18"/>
              </w:rPr>
              <w:t>0.983</w:t>
            </w:r>
          </w:p>
        </w:tc>
      </w:tr>
      <w:tr>
        <w:tc>
          <w:tcPr>
            <w:tcW w:type="dxa" w:w="2880"/>
          </w:tcPr>
          <w:p>
            <w:r/>
            <w:r>
              <w:rPr>
                <w:b w:val="0"/>
                <w:sz w:val="18"/>
              </w:rPr>
              <w:t>2</w:t>
            </w:r>
          </w:p>
        </w:tc>
        <w:tc>
          <w:tcPr>
            <w:tcW w:type="dxa" w:w="2880"/>
          </w:tcPr>
          <w:p>
            <w:r/>
            <w:r>
              <w:rPr>
                <w:b w:val="0"/>
                <w:sz w:val="18"/>
              </w:rPr>
              <w:t>DinH2(l/mn)</w:t>
            </w:r>
          </w:p>
        </w:tc>
        <w:tc>
          <w:tcPr>
            <w:tcW w:type="dxa" w:w="2880"/>
          </w:tcPr>
          <w:p>
            <w:r/>
            <w:r>
              <w:rPr>
                <w:b w:val="0"/>
                <w:sz w:val="18"/>
              </w:rPr>
              <w:t>0.978</w:t>
            </w:r>
          </w:p>
        </w:tc>
      </w:tr>
      <w:tr>
        <w:tc>
          <w:tcPr>
            <w:tcW w:type="dxa" w:w="2880"/>
          </w:tcPr>
          <w:p>
            <w:r/>
            <w:r>
              <w:rPr>
                <w:b w:val="0"/>
                <w:sz w:val="18"/>
              </w:rPr>
              <w:t>3</w:t>
            </w:r>
          </w:p>
        </w:tc>
        <w:tc>
          <w:tcPr>
            <w:tcW w:type="dxa" w:w="2880"/>
          </w:tcPr>
          <w:p>
            <w:r/>
            <w:r>
              <w:rPr>
                <w:b w:val="0"/>
                <w:sz w:val="18"/>
              </w:rPr>
              <w:t>TinH2(C)</w:t>
            </w:r>
          </w:p>
        </w:tc>
        <w:tc>
          <w:tcPr>
            <w:tcW w:type="dxa" w:w="2880"/>
          </w:tcPr>
          <w:p>
            <w:r/>
            <w:r>
              <w:rPr>
                <w:b w:val="0"/>
                <w:sz w:val="18"/>
              </w:rPr>
              <w:t>0.955</w:t>
            </w:r>
          </w:p>
        </w:tc>
      </w:tr>
      <w:tr>
        <w:tc>
          <w:tcPr>
            <w:tcW w:type="dxa" w:w="2880"/>
          </w:tcPr>
          <w:p>
            <w:r/>
            <w:r>
              <w:rPr>
                <w:b w:val="0"/>
                <w:sz w:val="18"/>
              </w:rPr>
              <w:t>4</w:t>
            </w:r>
          </w:p>
        </w:tc>
        <w:tc>
          <w:tcPr>
            <w:tcW w:type="dxa" w:w="2880"/>
          </w:tcPr>
          <w:p>
            <w:r/>
            <w:r>
              <w:rPr>
                <w:b w:val="0"/>
                <w:sz w:val="18"/>
              </w:rPr>
              <w:t>TinAIR(C)</w:t>
            </w:r>
          </w:p>
        </w:tc>
        <w:tc>
          <w:tcPr>
            <w:tcW w:type="dxa" w:w="2880"/>
          </w:tcPr>
          <w:p>
            <w:r/>
            <w:r>
              <w:rPr>
                <w:b w:val="0"/>
                <w:sz w:val="18"/>
              </w:rPr>
              <w:t>0.930</w:t>
            </w:r>
          </w:p>
        </w:tc>
      </w:tr>
      <w:tr>
        <w:tc>
          <w:tcPr>
            <w:tcW w:type="dxa" w:w="2880"/>
          </w:tcPr>
          <w:p>
            <w:r/>
            <w:r>
              <w:rPr>
                <w:b w:val="0"/>
                <w:sz w:val="18"/>
              </w:rPr>
              <w:t>5</w:t>
            </w:r>
          </w:p>
        </w:tc>
        <w:tc>
          <w:tcPr>
            <w:tcW w:type="dxa" w:w="2880"/>
          </w:tcPr>
          <w:p>
            <w:r/>
            <w:r>
              <w:rPr>
                <w:b w:val="0"/>
                <w:sz w:val="18"/>
              </w:rPr>
              <w:t>HrAIRFC(%)</w:t>
            </w:r>
          </w:p>
        </w:tc>
        <w:tc>
          <w:tcPr>
            <w:tcW w:type="dxa" w:w="2880"/>
          </w:tcPr>
          <w:p>
            <w:r/>
            <w:r>
              <w:rPr>
                <w:b w:val="0"/>
                <w:sz w:val="18"/>
              </w:rPr>
              <w:t>0.926</w:t>
            </w:r>
          </w:p>
        </w:tc>
      </w:tr>
      <w:tr>
        <w:tc>
          <w:tcPr>
            <w:tcW w:type="dxa" w:w="2880"/>
          </w:tcPr>
          <w:p>
            <w:r/>
            <w:r>
              <w:rPr>
                <w:b w:val="0"/>
                <w:sz w:val="18"/>
              </w:rPr>
              <w:t>6</w:t>
            </w:r>
          </w:p>
        </w:tc>
        <w:tc>
          <w:tcPr>
            <w:tcW w:type="dxa" w:w="2880"/>
          </w:tcPr>
          <w:p>
            <w:r/>
            <w:r>
              <w:rPr>
                <w:b w:val="0"/>
                <w:sz w:val="18"/>
              </w:rPr>
              <w:t>ToutH2(C)</w:t>
            </w:r>
          </w:p>
        </w:tc>
        <w:tc>
          <w:tcPr>
            <w:tcW w:type="dxa" w:w="2880"/>
          </w:tcPr>
          <w:p>
            <w:r/>
            <w:r>
              <w:rPr>
                <w:b w:val="0"/>
                <w:sz w:val="18"/>
              </w:rPr>
              <w:t>0.890</w:t>
            </w:r>
          </w:p>
        </w:tc>
      </w:tr>
      <w:tr>
        <w:tc>
          <w:tcPr>
            <w:tcW w:type="dxa" w:w="2880"/>
          </w:tcPr>
          <w:p>
            <w:r/>
            <w:r>
              <w:rPr>
                <w:b w:val="0"/>
                <w:sz w:val="18"/>
              </w:rPr>
              <w:t>7</w:t>
            </w:r>
          </w:p>
        </w:tc>
        <w:tc>
          <w:tcPr>
            <w:tcW w:type="dxa" w:w="2880"/>
          </w:tcPr>
          <w:p>
            <w:r/>
            <w:r>
              <w:rPr>
                <w:b w:val="0"/>
                <w:sz w:val="18"/>
              </w:rPr>
              <w:t>ToutAIR(C)</w:t>
            </w:r>
          </w:p>
        </w:tc>
        <w:tc>
          <w:tcPr>
            <w:tcW w:type="dxa" w:w="2880"/>
          </w:tcPr>
          <w:p>
            <w:r/>
            <w:r>
              <w:rPr>
                <w:b w:val="0"/>
                <w:sz w:val="18"/>
              </w:rPr>
              <w:t>0.879</w:t>
            </w:r>
          </w:p>
        </w:tc>
      </w:tr>
      <w:tr>
        <w:tc>
          <w:tcPr>
            <w:tcW w:type="dxa" w:w="2880"/>
          </w:tcPr>
          <w:p>
            <w:r/>
            <w:r>
              <w:rPr>
                <w:b w:val="0"/>
                <w:sz w:val="18"/>
              </w:rPr>
              <w:t>8</w:t>
            </w:r>
          </w:p>
        </w:tc>
        <w:tc>
          <w:tcPr>
            <w:tcW w:type="dxa" w:w="2880"/>
          </w:tcPr>
          <w:p>
            <w:r/>
            <w:r>
              <w:rPr>
                <w:b w:val="0"/>
                <w:sz w:val="18"/>
              </w:rPr>
              <w:t>U5(V)</w:t>
            </w:r>
          </w:p>
        </w:tc>
        <w:tc>
          <w:tcPr>
            <w:tcW w:type="dxa" w:w="2880"/>
          </w:tcPr>
          <w:p>
            <w:r/>
            <w:r>
              <w:rPr>
                <w:b w:val="0"/>
                <w:sz w:val="18"/>
              </w:rPr>
              <w:t>0.856</w:t>
            </w:r>
          </w:p>
        </w:tc>
      </w:tr>
      <w:tr>
        <w:tc>
          <w:tcPr>
            <w:tcW w:type="dxa" w:w="2880"/>
          </w:tcPr>
          <w:p>
            <w:r/>
            <w:r>
              <w:rPr>
                <w:b w:val="0"/>
                <w:sz w:val="18"/>
              </w:rPr>
              <w:t>9</w:t>
            </w:r>
          </w:p>
        </w:tc>
        <w:tc>
          <w:tcPr>
            <w:tcW w:type="dxa" w:w="2880"/>
          </w:tcPr>
          <w:p>
            <w:r/>
            <w:r>
              <w:rPr>
                <w:b w:val="0"/>
                <w:sz w:val="18"/>
              </w:rPr>
              <w:t>DinAIR(l/mn)</w:t>
            </w:r>
          </w:p>
        </w:tc>
        <w:tc>
          <w:tcPr>
            <w:tcW w:type="dxa" w:w="2880"/>
          </w:tcPr>
          <w:p>
            <w:r/>
            <w:r>
              <w:rPr>
                <w:b w:val="0"/>
                <w:sz w:val="18"/>
              </w:rPr>
              <w:t>0.844</w:t>
            </w:r>
          </w:p>
        </w:tc>
      </w:tr>
      <w:tr>
        <w:tc>
          <w:tcPr>
            <w:tcW w:type="dxa" w:w="2880"/>
          </w:tcPr>
          <w:p>
            <w:r/>
            <w:r>
              <w:rPr>
                <w:b w:val="0"/>
                <w:sz w:val="18"/>
              </w:rPr>
              <w:t>10</w:t>
            </w:r>
          </w:p>
        </w:tc>
        <w:tc>
          <w:tcPr>
            <w:tcW w:type="dxa" w:w="2880"/>
          </w:tcPr>
          <w:p>
            <w:r/>
            <w:r>
              <w:rPr>
                <w:b w:val="0"/>
                <w:sz w:val="18"/>
              </w:rPr>
              <w:t>ToutWAT(C)</w:t>
            </w:r>
          </w:p>
        </w:tc>
        <w:tc>
          <w:tcPr>
            <w:tcW w:type="dxa" w:w="2880"/>
          </w:tcPr>
          <w:p>
            <w:r/>
            <w:r>
              <w:rPr>
                <w:b w:val="0"/>
                <w:sz w:val="18"/>
              </w:rPr>
              <w:t>0.841</w:t>
            </w:r>
          </w:p>
        </w:tc>
      </w:tr>
    </w:tbl>
    <w:p/>
    <w:p>
      <w:pPr/>
      <w:r>
        <w:t>与Spearman/RF的结果形成</w:t>
      </w:r>
      <w:r>
        <w:rPr>
          <w:highlight w:val="92D050"/>
        </w:rPr>
        <w:t>有趣</w:t>
      </w:r>
      <w:r>
        <w:rPr>
          <w:highlight w:val="92D050"/>
        </w:rPr>
        <w:t>有趣</w:t>
      </w:r>
      <w:r>
        <w:t>对比：TFT的VS赋予流量和温度类传感器更高的权重（DoutH2为0.983），而电压类传感器（如U5为0.856）虽然权重不低，但未占据绝对主导。这一差异的原因是：Spearman和RF是</w:t>
      </w:r>
      <w:r>
        <w:rPr>
          <w:b/>
        </w:rPr>
        <w:t>静态</w:t>
      </w:r>
      <w:r>
        <w:t>筛选——它们在整个数据集上一次性计算相关性，而TFT的VS是</w:t>
      </w:r>
      <w:r>
        <w:rPr>
          <w:b/>
        </w:rPr>
        <w:t>动态</w:t>
      </w:r>
      <w:r>
        <w:t>筛选——它根据LSTM当前隐状态的需要自适应调节各传感器的信息占比。VS发现"当前电压是多少"已经由LSTM隐状态记住了，而"氢气流量是否有变化""温度是否有漂移"这些外部信息才是补充预测的关键。</w:t>
      </w:r>
    </w:p>
    <w:p>
      <w:pPr/>
      <w:r>
        <w:rPr>
          <w:highlight w:val="FFFF00"/>
        </w:rPr>
        <w:t>DoutH2（氢气出口流量，VS权重0.983，排名第一）的物理角色值得特别讨论。在PEMFC阳极流道中，DoutH2的高低反映了氢气利用率（stoichiometry）和阳极水管理的状态：当膜电极发生缓慢退化时，质子传导率下降、催化活性降低，氢气消耗率下降，导致出口流量（DoutH2）相对于稳态基准出现漂移。此外，膜穿孔会引起氢气直接渗透至阴极（氢气渗透率升高），在阳极闭口端模式下也会改变DoutH2的数值。因此，DoutH2作为退化"前兆信号"具有明确的电化学基础——这一点在Spearman线性相关（|ρ|&lt;0.4）中被完全掩盖，却被TFT-VS非线性地捕捉到。DoutH2作为退化"前兆信号"的电化学基础可解释为：质子传导率下降→氢气消耗率下降→出口氢气量上升。此外，氢气出口流量和温度的组合变化反映了膜水合状态与气体交叉渗透的动态平衡——这些都是传统线性相关分析无法捕捉的非线性退化信号。</w:t>
      </w:r>
      <w:r>
        <w:rPr>
          <w:highlight w:val="FFFF00"/>
        </w:rPr>
        <w:t>DoutH2（氢气出口流量，VS权重0.983，排名第一）的物理角色值得特别讨论。在PEMFC阳极流道中，DoutH2的高低反映了氢气利用率（stoichiometry）和阳极水管理的状态：当膜电极发生缓慢退化时，质子传导率下降、催化活性降低，氢气消耗率下降，导致出口流量（DoutH2）相对于稳态基准出现漂移。此外，膜穿孔会引起氢气直接渗透至阴极（氢气渗透率升高），在阳极闭口端模式下也会改变DoutH2的数值。因此，DoutH2作为退化"前兆信号"具有明确的电化学基础——这一点在Spearman线性相关（|ρ|&lt;0.4）中被完全掩盖，却被TFT-VS非线性地捕捉到。DoutH2作为退化"前兆信号"的电化学基础可解释为：质子传导率下降→氢气消耗率下降→出口氢气量上升。此外，氢气出口流量和温度的组合变化反映了膜水合状态与气体交叉渗透的动态平衡——这些都是传统线性相关分析无法捕捉的非线性退化信号。</w:t>
      </w:r>
    </w:p>
    <w:p>
      <w:pPr/>
      <w:r>
        <w:t>这一发现具有</w:t>
      </w:r>
      <w:r>
        <w:rPr>
          <w:highlight w:val="92D050"/>
        </w:rPr>
        <w:t>明确的</w:t>
      </w:r>
      <w:r>
        <w:rPr>
          <w:highlight w:val="92D050"/>
        </w:rPr>
        <w:t>明确的</w:t>
      </w:r>
      <w:r>
        <w:t>物理含义：PEMFC的电压退化虽然是最终观测指标，但其退化的</w:t>
      </w:r>
      <w:r>
        <w:rPr>
          <w:b/>
        </w:rPr>
        <w:t>驱动力</w:t>
      </w:r>
      <w:r>
        <w:t>来自温度、流量、湿度等操作条件对膜电极的长期作用。TFT通过Variable Selection自主识别了这些"退化幕后推手"。</w:t>
      </w:r>
    </w:p>
    <w:p>
      <w:pPr>
        <w:pStyle w:val="Heading2"/>
      </w:pPr>
      <w:r>
        <w:t>5.5 SHAP可解释性分析</w:t>
      </w:r>
    </w:p>
    <w:p>
      <w:pPr/>
      <w:r>
        <w:t>为进一步验证模型决策的可解释性，本文采用SHAP（SHapley Additive exPlanations）对TFT在</w:t>
      </w:r>
      <w:r>
        <w:rPr>
          <w:highlight w:val="FFFF00"/>
        </w:rPr>
        <w:t>FC2</w:t>
      </w:r>
      <w:r>
        <w:rPr>
          <w:highlight w:val="FFFF00"/>
        </w:rPr>
        <w:t>FC2</w:t>
      </w:r>
      <w:r>
        <w:t>上的预测进行特征归因分析。使用GradientExplainer计算测试集前200个样本的SHAP值。</w:t>
      </w:r>
    </w:p>
    <w:p>
      <w:pPr/>
      <w:r>
        <w:rPr>
          <w:highlight w:val="FFFF00"/>
        </w:rPr>
        <w:t>图9展示了SHAP摘要图。</w:t>
      </w:r>
      <w:r>
        <w:rPr>
          <w:highlight w:val="FFFF00"/>
        </w:rPr>
        <w:t>图9展示了SHAP摘要图。</w:t>
      </w:r>
    </w:p>
    <w:p>
      <w:r>
        <w:rPr>
          <w:i/>
          <w:color w:val="808080"/>
          <w:sz w:val="20"/>
        </w:rPr>
        <w:t>[此处插入图9: SHAP特征贡献 vs TFT-VS权重对比 (shap_vs_tft_vs.png)]</w:t>
      </w:r>
    </w:p>
    <w:p>
      <w:pPr/>
      <w:r>
        <w:t>SHAP均值排名前三的传感器为DoutH2（均值|SHAP|=0.024V）、DoutAIR（0.018V）和HrAIRFC（0.015V），与TFT的VS权重排名高度一致（Pearson r=0.82）。两种完全独立的方法（VS通过梯度反传学习，SHAP通过Shapley值归因）给出一致的特征重要性判断，从"We want to trust the model"和"We have verified with external tool"两个角度验证了模型的可解释性。</w:t>
      </w:r>
    </w:p>
    <w:p>
      <w:pPr/>
      <w:r>
        <w:t>SHAP分析还</w:t>
      </w:r>
      <w:r>
        <w:rPr>
          <w:highlight w:val="92D050"/>
        </w:rPr>
        <w:t>给出了</w:t>
      </w:r>
      <w:r>
        <w:rPr>
          <w:highlight w:val="92D050"/>
        </w:rPr>
        <w:t>给出了</w:t>
      </w:r>
      <w:r>
        <w:t>lag标记列（lag marker）的贡献：lag=1（标记值0.1）的SHAP均值约为0.003V，lag=4（标记值0.4）约为0.008V——更远的滞后步长对应更大的|SHAP|值，说明模型确实在利用"多时间点回顾"的信息差异，而非简单记忆lag标记的数值。</w:t>
      </w:r>
    </w:p>
    <w:p>
      <w:pPr>
        <w:pStyle w:val="Heading2"/>
      </w:pPr>
      <w:r>
        <w:t>5.6 不确定性量化</w:t>
      </w:r>
    </w:p>
    <w:p>
      <w:pPr/>
      <w:r>
        <w:rPr>
          <w:highlight w:val="FFFF00"/>
        </w:rPr>
        <w:t>图10展示了MC Dropout（50次采样）在FC2测试集上的不确定性带。</w:t>
      </w:r>
      <w:r>
        <w:rPr>
          <w:highlight w:val="FFFF00"/>
        </w:rPr>
        <w:t>图10展示了MC Dropout（50次采样）在FC2测试集上的不确定性带。</w:t>
      </w:r>
    </w:p>
    <w:p>
      <w:r>
        <w:rPr>
          <w:i/>
          <w:color w:val="808080"/>
          <w:sz w:val="20"/>
        </w:rPr>
        <w:t>[此处插入图10: MC Dropout不确定性量化 ±2σ置信带 (mc_dropout_uncertainty.png)]</w:t>
      </w:r>
    </w:p>
    <w:p>
      <w:pPr/>
      <w:r>
        <w:rPr>
          <w:highlight w:val="92D050"/>
        </w:rPr>
        <w:t>三种观察如下</w:t>
      </w:r>
      <w:r>
        <w:rPr>
          <w:highlight w:val="92D050"/>
        </w:rPr>
        <w:t>三种观察如下</w:t>
      </w:r>
      <w:r>
        <w:t>：</w:t>
      </w:r>
    </w:p>
    <w:p>
      <w:pPr/>
      <w:r/>
      <w:r>
        <w:rPr>
          <w:b/>
        </w:rPr>
        <w:t>（1）整体不确定性极低。</w:t>
      </w:r>
      <w:r>
        <w:t xml:space="preserve"> 预测标准差的均值为0.179%——意味着在±2σ置信区间内，预测电压的不确定性仅约0.006V。这说明TFT在大部分测试点上的预测高度自信。</w:t>
      </w:r>
    </w:p>
    <w:p>
      <w:pPr/>
      <w:r/>
      <w:r>
        <w:rPr>
          <w:b/>
        </w:rPr>
        <w:t>（2）不确定性随时间递增。</w:t>
      </w:r>
      <w:r>
        <w:t xml:space="preserve"> 测试集前期（&lt;200h）的预测标准差约0.001V，末期（&gt;400h）升至0.004V。这与PEMFC退化的物理规律一致：退化末期接近失效阈值，电压下降可能非线性加速，模型对"未见过的退化模式"的预测自然更不确定。</w:t>
      </w:r>
    </w:p>
    <w:p>
      <w:pPr/>
      <w:r/>
      <w:r>
        <w:rPr>
          <w:b/>
        </w:rPr>
        <w:t>（3）不确定性在特定点出现尖峰。</w:t>
      </w:r>
      <w:r>
        <w:t xml:space="preserve"> </w:t>
      </w:r>
      <w:r>
        <w:rPr>
          <w:highlight w:val="FFFF00"/>
        </w:rPr>
        <w:t>FC2纹波工况下，不确定性尖峰出现在电流切换时刻——传感器读数因负载突变产生瞬时波动，模型在这些点"犹豫"，是Dropout采样捕捉到的合理行为。</w:t>
      </w:r>
      <w:r>
        <w:rPr>
          <w:highlight w:val="FFFF00"/>
        </w:rPr>
        <w:t>FC2纹波工况下，不确定性尖峰出现在电流切换时刻——传感器读数因负载突变产生瞬时波动，模型在这些点"犹豫"，是Dropout采样捕捉到的合理行为。</w:t>
      </w:r>
    </w:p>
    <w:p>
      <w:pPr>
        <w:pStyle w:val="Heading2"/>
      </w:pPr>
      <w:r>
        <w:t>5.7 RUL预测结果</w:t>
      </w:r>
    </w:p>
    <w:p>
      <w:pPr/>
      <w:r>
        <w:t>基于96%初始电压的失效阈值定义，</w:t>
      </w:r>
      <w:r>
        <w:rPr>
          <w:highlight w:val="FFFF00"/>
        </w:rPr>
        <w:t>表10</w:t>
      </w:r>
      <w:r>
        <w:rPr>
          <w:highlight w:val="FFFF00"/>
        </w:rPr>
        <w:t>表10</w:t>
      </w:r>
      <w:r>
        <w:t>给出了TFT在两种工况下的RUL预测误差。</w:t>
      </w:r>
    </w:p>
    <w:p>
      <w:pPr/>
      <w:r/>
      <w:r>
        <w:rPr>
          <w:b/>
        </w:rPr>
        <w:t>[此处插入表10: FC1与FC2的RUL预测结果]</w:t>
      </w:r>
      <w:r/>
    </w:p>
    <w:p>
      <w:pPr/>
      <w:r/>
      <w:r>
        <w:rPr>
          <w:b/>
        </w:rPr>
        <w:t>表10 RUL预测结果</w:t>
      </w:r>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D9E2F3"/>
          </w:tcPr>
          <w:p>
            <w:r/>
            <w:r>
              <w:rPr>
                <w:b/>
                <w:sz w:val="18"/>
              </w:rPr>
              <w:t>工况</w:t>
            </w:r>
          </w:p>
        </w:tc>
        <w:tc>
          <w:tcPr>
            <w:tcW w:type="dxa" w:w="1728"/>
            <w:shd w:fill="D9E2F3"/>
          </w:tcPr>
          <w:p>
            <w:r/>
            <w:r>
              <w:rPr>
                <w:b/>
                <w:sz w:val="18"/>
              </w:rPr>
              <w:t>真实失效(h)</w:t>
            </w:r>
          </w:p>
        </w:tc>
        <w:tc>
          <w:tcPr>
            <w:tcW w:type="dxa" w:w="1728"/>
            <w:shd w:fill="D9E2F3"/>
          </w:tcPr>
          <w:p>
            <w:r/>
            <w:r>
              <w:rPr>
                <w:b/>
                <w:sz w:val="18"/>
              </w:rPr>
              <w:t>预测失效(h)</w:t>
            </w:r>
          </w:p>
        </w:tc>
        <w:tc>
          <w:tcPr>
            <w:tcW w:type="dxa" w:w="1728"/>
            <w:shd w:fill="D9E2F3"/>
          </w:tcPr>
          <w:p>
            <w:r/>
            <w:r>
              <w:rPr>
                <w:b/>
                <w:sz w:val="18"/>
              </w:rPr>
              <w:t>绝对误差(h)</w:t>
            </w:r>
          </w:p>
        </w:tc>
        <w:tc>
          <w:tcPr>
            <w:tcW w:type="dxa" w:w="1728"/>
            <w:shd w:fill="D9E2F3"/>
          </w:tcPr>
          <w:p>
            <w:r/>
            <w:r>
              <w:rPr>
                <w:b/>
                <w:sz w:val="18"/>
              </w:rPr>
              <w:t>相对误差</w:t>
            </w:r>
          </w:p>
        </w:tc>
      </w:tr>
      <w:tr>
        <w:tc>
          <w:tcPr>
            <w:tcW w:type="dxa" w:w="1728"/>
            <w:shd w:fill="FFFF00"/>
          </w:tcPr>
          <w:p>
            <w:r/>
            <w:r>
              <w:rPr>
                <w:b w:val="0"/>
                <w:sz w:val="18"/>
              </w:rPr>
              <w:t>FC2（0.5h）</w:t>
            </w:r>
          </w:p>
        </w:tc>
        <w:tc>
          <w:tcPr>
            <w:tcW w:type="dxa" w:w="1728"/>
            <w:shd w:fill="FFFF00"/>
          </w:tcPr>
          <w:p>
            <w:r/>
            <w:r>
              <w:rPr>
                <w:b w:val="0"/>
                <w:sz w:val="18"/>
              </w:rPr>
              <w:t>105h</w:t>
            </w:r>
          </w:p>
        </w:tc>
        <w:tc>
          <w:tcPr>
            <w:tcW w:type="dxa" w:w="1728"/>
            <w:shd w:fill="FFFF00"/>
          </w:tcPr>
          <w:p>
            <w:r/>
            <w:r>
              <w:rPr>
                <w:b w:val="0"/>
                <w:sz w:val="18"/>
              </w:rPr>
              <w:t>107h</w:t>
            </w:r>
          </w:p>
        </w:tc>
        <w:tc>
          <w:tcPr>
            <w:tcW w:type="dxa" w:w="1728"/>
            <w:shd w:fill="FFFF00"/>
          </w:tcPr>
          <w:p>
            <w:r/>
            <w:r>
              <w:rPr>
                <w:b w:val="0"/>
                <w:sz w:val="18"/>
              </w:rPr>
              <w:t>2h</w:t>
            </w:r>
          </w:p>
        </w:tc>
        <w:tc>
          <w:tcPr>
            <w:tcW w:type="dxa" w:w="1728"/>
            <w:shd w:fill="FFFF00"/>
          </w:tcPr>
          <w:p>
            <w:r/>
            <w:r>
              <w:rPr>
                <w:b w:val="0"/>
                <w:sz w:val="18"/>
              </w:rPr>
              <w:t>1.90%</w:t>
            </w:r>
          </w:p>
        </w:tc>
      </w:tr>
      <w:tr>
        <w:tc>
          <w:tcPr>
            <w:tcW w:type="dxa" w:w="1728"/>
          </w:tcPr>
          <w:p>
            <w:r/>
            <w:r>
              <w:rPr>
                <w:b w:val="0"/>
                <w:sz w:val="18"/>
              </w:rPr>
              <w:t>FC1（1h）</w:t>
            </w:r>
          </w:p>
        </w:tc>
        <w:tc>
          <w:tcPr>
            <w:tcW w:type="dxa" w:w="1728"/>
          </w:tcPr>
          <w:p>
            <w:r/>
            <w:r>
              <w:rPr>
                <w:b w:val="0"/>
                <w:sz w:val="18"/>
              </w:rPr>
              <w:t>115h</w:t>
            </w:r>
          </w:p>
        </w:tc>
        <w:tc>
          <w:tcPr>
            <w:tcW w:type="dxa" w:w="1728"/>
          </w:tcPr>
          <w:p>
            <w:r/>
            <w:r>
              <w:rPr>
                <w:b w:val="0"/>
                <w:sz w:val="18"/>
              </w:rPr>
              <w:t>120h</w:t>
            </w:r>
          </w:p>
        </w:tc>
        <w:tc>
          <w:tcPr>
            <w:tcW w:type="dxa" w:w="1728"/>
          </w:tcPr>
          <w:p>
            <w:r/>
            <w:r>
              <w:rPr>
                <w:b w:val="0"/>
                <w:sz w:val="18"/>
              </w:rPr>
              <w:t>5h</w:t>
            </w:r>
          </w:p>
        </w:tc>
        <w:tc>
          <w:tcPr>
            <w:tcW w:type="dxa" w:w="1728"/>
          </w:tcPr>
          <w:p>
            <w:r/>
            <w:r>
              <w:rPr>
                <w:b w:val="0"/>
                <w:sz w:val="18"/>
              </w:rPr>
              <w:t>4.35%</w:t>
            </w:r>
          </w:p>
        </w:tc>
      </w:tr>
    </w:tbl>
    <w:p/>
    <w:p>
      <w:pPr/>
      <w:r>
        <w:rPr>
          <w:highlight w:val="FFFF00"/>
        </w:rPr>
        <w:t>对于FC2，0.5h降采样后总时间点约2040个，对应约1020小时测试时长。表10中"真实失效=105h"指电堆电压首次穿越失效阈值（3.161V）的时刻——该数值是通过训练集（前50%数据）的电压衰减趋势线性外推至测试集段确定的，而非在1020小时测试过程中实际观察到电堆失效。换言之，FC2电堆在其完整约1020小时测试曲线中一直在阈值以上运行，"105h"是外推估计值而非观测值。该方法遵循了Jouin et al.[3]的定义——真实失效时间以训练集外推线与失效阈值的交点为准。类似地，FC1的真实失效=115h也基于相同的定义。</w:t>
      </w:r>
      <w:r>
        <w:rPr>
          <w:highlight w:val="FFFF00"/>
        </w:rPr>
        <w:t>对于FC2，0.5h降采样后总时间点约2040个，对应约1020小时测试时长。表10中"真实失效=105h"指电堆电压首次穿越失效阈值（3.161V）的时刻——该数值是通过训练集（前50%数据）的电压衰减趋势线性外推至测试集段确定的，而非在1020小时测试过程中实际观察到电堆失效。换言之，FC2电堆在其完整约1020小时测试曲线中一直在阈值以上运行，"105h"是外推估计值而非观测值。该方法遵循了Jouin et al.[3]的定义——真实失效时间以训练集外推线与失效阈值的交点为准。类似地，FC1的真实失效=115h也基于相同的定义。</w:t>
      </w:r>
    </w:p>
    <w:p>
      <w:pPr/>
      <w:r>
        <w:t>两个工况的RUL相对误差均在5%以内，</w:t>
      </w:r>
      <w:r>
        <w:rPr>
          <w:highlight w:val="FFFF00"/>
        </w:rPr>
        <w:t>FC2的预测精度高于FC1（1.90% vs 4.35%）</w:t>
      </w:r>
      <w:r>
        <w:rPr>
          <w:highlight w:val="FFFF00"/>
        </w:rPr>
        <w:t>FC2的预测精度高于FC1（1.90% vs 4.35%）</w:t>
      </w:r>
      <w:r>
        <w:t>——纹波工况提供的额外信息不仅提升了电压状态推断精度，也转化为更准确的寿命终点判定。</w:t>
      </w:r>
    </w:p>
    <w:p>
      <w:pPr/>
      <w:r>
        <w:rPr>
          <w:highlight w:val="FFFF00"/>
        </w:rPr>
        <w:t>图11展示了FC2和FC1的RUL预测图，包含电压衰减曲线、失效阈值线、真实EoL和预测EoL的标注。</w:t>
      </w:r>
      <w:r>
        <w:rPr>
          <w:highlight w:val="FFFF00"/>
        </w:rPr>
        <w:t>图11展示了FC2和FC1的RUL预测图，包含电压衰减曲线、失效阈值线、真实EoL和预测EoL的标注。</w:t>
      </w:r>
    </w:p>
    <w:p>
      <w:r>
        <w:rPr>
          <w:i/>
          <w:color w:val="808080"/>
          <w:sz w:val="20"/>
        </w:rPr>
        <w:t>[此处插入图11: RUL预测图 — 电压衰减至失效阈值 (rul_prediction.png)]</w:t>
      </w:r>
    </w:p>
    <w:p>
      <w:r>
        <w:rPr>
          <w:i/>
          <w:color w:val="808080"/>
          <w:sz w:val="20"/>
        </w:rPr>
        <w:t>[此处插入图12: 消融实验五模型对比柱状图 (fig10_ablation_study.png)]</w:t>
      </w:r>
    </w:p>
    <w:p>
      <w:pPr>
        <w:pStyle w:val="Heading2"/>
      </w:pPr>
      <w:r>
        <w:t>5.8 讨论</w:t>
      </w:r>
    </w:p>
    <w:p>
      <w:pPr>
        <w:pStyle w:val="Heading3"/>
      </w:pPr>
      <w:r>
        <w:t>5.8.1 L=1+滞后增强 vs 传统方法</w:t>
      </w:r>
    </w:p>
    <w:p>
      <w:pPr/>
      <w:r>
        <w:t>本文提出的L=1+多步滞后增强策略在PEMFC退化预测中展现了明确优势。与传统的L=10滑动窗口相比，L=1避免了微弱时序信号被测量噪声稀释的根本性问题。滞后增强（lag=1,2,4）通过三个不同时间距离的观测副本，在保留L=1监督学习范式的同时引入了时序历史信息。</w:t>
      </w:r>
      <w:r>
        <w:rPr>
          <w:highlight w:val="FFFF00"/>
        </w:rPr>
        <w:t>数据量3倍扩展（FC2: 2038→6114; FC1: 1151→3453）进一步缓解了单电堆数据量不足——这对实际应用中"仅有一台电堆的退化数据"场景尤为重要。</w:t>
      </w:r>
      <w:r>
        <w:rPr>
          <w:highlight w:val="FFFF00"/>
        </w:rPr>
        <w:t>数据量3倍扩展（FC2: 2038→6114; FC1: 1151→3453）进一步缓解了单电堆数据量不足——这对实际应用中"仅有一台电堆的退化数据"场景尤为重要。</w:t>
      </w:r>
    </w:p>
    <w:p>
      <w:pPr>
        <w:pStyle w:val="Heading3"/>
      </w:pPr>
      <w:r>
        <w:t>5.8.2 TFT各组件的价值</w:t>
      </w:r>
    </w:p>
    <w:p>
      <w:pPr/>
      <w:r>
        <w:rPr>
          <w:highlight w:val="FFFF00"/>
        </w:rPr>
        <w:t>消融实验（表5和表6）在两工况交叉验证下系统审视了TFT四个组件的价值。最关键的组件是GRN——去掉GRN后（等同LSTM+Attention），在FC1上Min R²从0.79降至-2.21，训练稳定性完全丧失。Variable Selection的贡献体现在将LSTM的输入从"全特征均匀对待"变为"核心传感器放大、噪声传感器抑制"，使LSTM的初始输入分布更有利于门控学习。MultiheadAttention在L=1条件下主要提供特征间交互，GRN和VS对稳定性的贡献大于Attention对精度的贡献。</w:t>
      </w:r>
      <w:r>
        <w:rPr>
          <w:highlight w:val="FFFF00"/>
        </w:rPr>
        <w:t>消融实验（表5和表6）在两工况交叉验证下系统审视了TFT四个组件的价值。最关键的组件是GRN——去掉GRN后（等同LSTM+Attention），在FC1上Min R²从0.79降至-2.21，训练稳定性完全丧失。Variable Selection的贡献体现在将LSTM的输入从"全特征均匀对待"变为"核心传感器放大、噪声传感器抑制"，使LSTM的初始输入分布更有利于门控学习。MultiheadAttention在L=1条件下主要提供特征间交互，GRN和VS对稳定性的贡献大于Attention对精度的贡献。</w:t>
      </w:r>
    </w:p>
    <w:p>
      <w:pPr>
        <w:pStyle w:val="Heading3"/>
      </w:pPr>
      <w:r>
        <w:t>5.8.3 工况对模型选择的影响</w:t>
      </w:r>
    </w:p>
    <w:p>
      <w:pPr/>
      <w:r>
        <w:rPr>
          <w:highlight w:val="FFFF00"/>
        </w:rPr>
        <w:t>本文最重要的工程发现是：没有"万能模型"——最优模型取决于工况类型。FC1准静态工况下，DLinear（L=10）以趋势分解+线性映射的简洁设计取得了Mean R²=0.91的成绩，而TSMixer的Min R²仅为0.21。FC2纹波工况下，形势完全反转——TSMixer以Min R²=0.95成为最稳定的模型，而DLinear彻底失败（R²≈-4.3）。这一反转的原因在于：准静态条件下，AvgPool1d的趋势分解能有效分离缓慢退化和高频噪声——线性模型足以胜任；纹波条件下，电流波动使得"趋势"无法通过简单平滑提取——需要非线性模型的表征能力。TFT在两种工况下均保持正R²且排名靠前（FC1第二、FC2第二），是跨工况适应能力最强的架构。</w:t>
      </w:r>
      <w:r>
        <w:rPr>
          <w:highlight w:val="FFFF00"/>
        </w:rPr>
        <w:t>本文最重要的工程发现是：没有"万能模型"——最优模型取决于工况类型。FC1准静态工况下，DLinear（L=10）以趋势分解+线性映射的简洁设计取得了Mean R²=0.91的成绩，而TSMixer的Min R²仅为0.21。FC2纹波工况下，形势完全反转——TSMixer以Min R²=0.95成为最稳定的模型，而DLinear彻底失败（R²≈-4.3）。这一反转的原因在于：准静态条件下，AvgPool1d的趋势分解能有效分离缓慢退化和高频噪声——线性模型足以胜任；纹波条件下，电流波动使得"趋势"无法通过简单平滑提取——需要非线性模型的表征能力。TFT在两种工况下均保持正R²且排名靠前（FC1第二、FC2第二），是跨工况适应能力最强的架构。</w:t>
      </w:r>
    </w:p>
    <w:p>
      <w:pPr/>
      <w:r>
        <w:rPr>
          <w:highlight w:val="FFFF00"/>
        </w:rPr>
        <w:t>从电化学退化机理角度看，纹波电流（FC2）与准静态恒流（FC1）可能激活了不同的退化过程。已知的是，电流的周期性波动（FC2的纹波模式）会导致电堆电压在±0.02V的包络内摆动——这种电位循环在催化剂层上产生类似加速应力测试（AST）的效果：每次循环中的高电位阶段加速碳载体的氧化腐蚀，低电位阶段促进Pt离子的溶解。随着时间积累，纹波可能加剧催化剂的Ostwald熟化（溶解的小Pt颗粒再沉积到大颗粒上，导致活性面积下降）和膜的化学-机械耦合退化。相比之下，恒流模式（FC1）下的电压单调缓慢下降，退化过程更接近稳态化学衰减。纹波工况中退化机理的复杂性可能是TSMixer（纯MLP）在此表现优异的一个深层原因——丰富的传感器动态变化使得"传感器→电压"映射在训练分布中被充分采样，MLP的多层非线性变换足以捕获这些模式，而准静态条件下数据的变化不足导致MLP无法学习有效的内部表示。这一机理假说有待未来工作通过循环伏安法、交流阻抗谱等电化学离线表征手段进行验证。</w:t>
      </w:r>
      <w:r>
        <w:rPr>
          <w:highlight w:val="FFFF00"/>
        </w:rPr>
        <w:t>从电化学退化机理角度看，纹波电流（FC2）与准静态恒流（FC1）可能激活了不同的退化过程。已知的是，电流的周期性波动（FC2的纹波模式）会导致电堆电压在±0.02V的包络内摆动——这种电位循环在催化剂层上产生类似加速应力测试（AST）的效果：每次循环中的高电位阶段加速碳载体的氧化腐蚀，低电位阶段促进Pt离子的溶解。随着时间积累，纹波可能加剧催化剂的Ostwald熟化（溶解的小Pt颗粒再沉积到大颗粒上，导致活性面积下降）和膜的化学-机械耦合退化。相比之下，恒流模式（FC1）下的电压单调缓慢下降，退化过程更接近稳态化学衰减。纹波工况中退化机理的复杂性可能是TSMixer（纯MLP）在此表现优异的一个深层原因——丰富的传感器动态变化使得"传感器→电压"映射在训练分布中被充分采样，MLP的多层非线性变换足以捕获这些模式，而准静态条件下数据的变化不足导致MLP无法学习有效的内部表示。这一机理假说有待未来工作通过循环伏安法、交流阻抗谱等电化学离线表征手段进行验证。</w:t>
      </w:r>
    </w:p>
    <w:p>
      <w:pPr>
        <w:pStyle w:val="Heading3"/>
      </w:pPr>
      <w:r>
        <w:t>5.8.4 工况对采样策略的影响</w:t>
      </w:r>
    </w:p>
    <w:p>
      <w:pPr/>
      <w:r>
        <w:t>FC1需要1h采样、FC2需要0.5h采样的实验发现具有明确的物理含义和工程指导价值。准静态条件下，2倍采样密度并未提供新信息——传感器读数在0.5h尺度上几乎不变。纹波条件下，电流的动态变化在0.5h分辨率上提供更多"传感器-退化"对应关系的样本。这一发现可指导实际PEMFC在线监测系统的采样策略设计——应根据负载特性自适应调整采集频率。</w:t>
      </w:r>
      <w:r>
        <w:rPr>
          <w:highlight w:val="FFFF00"/>
        </w:rPr>
        <w:t>一种工程可行的自适应采样方案为：以电流方差（滑动窗口计算）作为工况动态程度的实时代理指标——当方差低于阈值（准静态模式）时采用1h稀疏采样以节省数据传输和存储成本；当方差高于阈值（动态纹波模式）时切换至0.5h密集采样以充分捕获动态变化中的退化信息。该自适应策略的阈值标定和切换逻辑有待在实际PEMFC在线监测系统中部署验证。</w:t>
      </w:r>
      <w:r>
        <w:rPr>
          <w:highlight w:val="FFFF00"/>
        </w:rPr>
        <w:t>一种工程可行的自适应采样方案为：以电流方差（滑动窗口计算）作为工况动态程度的实时代理指标——当方差低于阈值（准静态模式）时采用1h稀疏采样以节省数据传输和存储成本；当方差高于阈值（动态纹波模式）时切换至0.5h密集采样以充分捕获动态变化中的退化信息。该自适应策略的阈值标定和切换逻辑有待在实际PEMFC在线监测系统中部署验证。</w:t>
      </w:r>
    </w:p>
    <w:p>
      <w:pPr>
        <w:pStyle w:val="Heading3"/>
      </w:pPr>
      <w:r>
        <w:t>5.8.5 局限性</w:t>
      </w:r>
    </w:p>
    <w:p>
      <w:pPr/>
      <w:r>
        <w:t>本文的工作存在以下局限：</w:t>
      </w:r>
    </w:p>
    <w:p>
      <w:pPr/>
      <w:r>
        <w:rPr>
          <w:highlight w:val="FFFF00"/>
        </w:rPr>
        <w:t>（1）数据集仅有2个电堆、每个约1000小时，不足以验证模型在更长寿命尺度（&gt;5000h）上的预测能力；（2）两个电堆来自同一制造商、同批次测试，模型在同批次电堆之间的泛化不等于跨批次、跨设计的泛化；（3）</w:t>
      </w:r>
      <w:r>
        <w:rPr>
          <w:highlight w:val="FFFF00"/>
        </w:rPr>
        <w:t>（1）数据集仅有2个电堆、每个约1000小时，不足以验证模型在更长寿命尺度（&gt;5000h）上的预测能力；（2）两个电堆来自同一制造商、同批次测试，模型在同批次电堆之间的泛化不等于跨批次、跨设计的泛化；（3）</w:t>
      </w:r>
      <w:r>
        <w:t>未利用PEMFC退化的电化学机理知识作为物理约束</w:t>
      </w:r>
      <w:r>
        <w:rPr>
          <w:highlight w:val="FFFF00"/>
        </w:rPr>
        <w:t>；（4）L=1的形式化限制了模型进行真正意义上的"多步外推预测"能力——本文的RUL预测本质是"预测当前电压直至其穿越失效阈值"而非"预测未来N小时的电压序列"</w:t>
      </w:r>
      <w:r>
        <w:rPr>
          <w:highlight w:val="FFFF00"/>
        </w:rPr>
        <w:t>；（4）L=1的形式化限制了模型进行真正意义上的"多步外推预测"能力——本文的RUL预测本质是"预测当前电压直至其穿越失效阈值"而非"预测未来N小时的电压序列"</w:t>
      </w:r>
      <w:r>
        <w:t>。</w:t>
      </w:r>
    </w:p>
    <w:p>
      <w:pPr/>
      <w:r>
        <w:rPr>
          <w:highlight w:val="FFFF00"/>
        </w:rPr>
        <w:t>（5）最关键的限制在于实验设计的混杂效应（confounding）：两个可用电堆各自在恰好一种工况下运行——FC1=准静态，FC2=纹波。因此，模型性能在两电堆间的差异有两个不可区分的可能来源：(a)工况类型不同——纹波vs准静态导致的数据特性差异驱动了模型的相对排名；(b)电堆个体差异——FC1和FC2可能在制造公差、初始内阻、密封质量、催化剂负载均匀性等方面存在系统性差异，这些差异独立于工况类型而影响所有模型在两电堆上的性能排序。论文将观察到的性能反转（DLinear在FC1上第二优→FC2上彻底失败；TSMixer反之）归因于"工况类型"，但这与"电堆个体差异"解释在数据上不可区分——因为工况类型与电堆标识之间存在1:1映射关系（每个电堆只能提供一种工况的数据）。严格来说，要隔离工况的因果效应，至少需要：(a)同一电堆在不同工况不同时段的数据（工况内、电堆间交叉），或(b)同一工况下两个及以上不同电堆的数据（工况内、电堆间交叉）。当前数据集不满足这些条件，因此本文将"模型-工况关联"表述为观察层面的关联发现（association）而非因果关系（causation）。跨电堆、跨工况的因果推断需要未来在更多样化的数据集上进行复制验证。</w:t>
      </w:r>
      <w:r>
        <w:rPr>
          <w:highlight w:val="FFFF00"/>
        </w:rPr>
        <w:t>（5）最关键的限制在于实验设计的混杂效应（confounding）：两个可用电堆各自在恰好一种工况下运行——FC1=准静态，FC2=纹波。因此，模型性能在两电堆间的差异有两个不可区分的可能来源：(a)工况类型不同——纹波vs准静态导致的数据特性差异驱动了模型的相对排名；(b)电堆个体差异——FC1和FC2可能在制造公差、初始内阻、密封质量、催化剂负载均匀性等方面存在系统性差异，这些差异独立于工况类型而影响所有模型在两电堆上的性能排序。论文将观察到的性能反转（DLinear在FC1上第二优→FC2上彻底失败；TSMixer反之）归因于"工况类型"，但这与"电堆个体差异"解释在数据上不可区分——因为工况类型与电堆标识之间存在1:1映射关系（每个电堆只能提供一种工况的数据）。严格来说，要隔离工况的因果效应，至少需要：(a)同一电堆在不同工况不同时段的数据（工况内、电堆间交叉），或(b)同一工况下两个及以上不同电堆的数据（工况内、电堆间交叉）。当前数据集不满足这些条件，因此本文将"模型-工况关联"表述为观察层面的关联发现（association）而非因果关系（causation）。跨电堆、跨工况的因果推断需要未来在更多样化的数据集上进行复制验证。</w:t>
      </w:r>
    </w:p>
    <w:p>
      <w:r>
        <w:br w:type="page"/>
      </w:r>
    </w:p>
    <w:p>
      <w:pPr>
        <w:pStyle w:val="Heading1"/>
      </w:pPr>
      <w:r>
        <w:t>6. 结论</w:t>
      </w:r>
    </w:p>
    <w:p>
      <w:pPr/>
      <w:r>
        <w:t>本文针对质子交换膜燃料电池（PEMFC）剩余使用寿命预测中"时序信号微弱、单电堆数据量不足、跨工况泛化评估缺失"三个系统性困难，提出了一种基于时序融合Transformer（TFT）结合L=1监督学习和多步滞后增强策略的退化</w:t>
      </w:r>
      <w:r>
        <w:rPr>
          <w:highlight w:val="FFFF00"/>
        </w:rPr>
        <w:t>状态估计</w:t>
      </w:r>
      <w:r>
        <w:rPr>
          <w:highlight w:val="FFFF00"/>
        </w:rPr>
        <w:t>状态估计</w:t>
      </w:r>
      <w:r>
        <w:t>与剩余使用寿命预测框架。</w:t>
      </w:r>
      <w:r>
        <w:rPr>
          <w:highlight w:val="FFFF00"/>
        </w:rPr>
        <w:t>本文以FC2（电流纹波工况）为主实验工况——其纹波负载模拟了车用燃料电池负载动态变化的一个维度（电流纹波），传感器丰富的动态变化为数据驱动模型提供了高信息密度的训练样本——同时以FC1（准静态工况）为交叉验证工况，在两电堆上进行了完整的消融实验和可解释性分析。</w:t>
      </w:r>
      <w:r>
        <w:rPr>
          <w:highlight w:val="FFFF00"/>
        </w:rPr>
        <w:t>本文以FC2（电流纹波工况）为主实验工况——其纹波负载模拟了车用燃料电池负载动态变化的一个维度（电流纹波），传感器丰富的动态变化为数据驱动模型提供了高信息密度的训练样本——同时以FC1（准静态工况）为交叉验证工况，在两电堆上进行了完整的消融实验和可解释性分析。</w:t>
      </w:r>
      <w:r>
        <w:t>通过理论分析和大量实验验证，得出以下主要结论：</w:t>
      </w:r>
    </w:p>
    <w:p>
      <w:pPr/>
      <w:r/>
      <w:r>
        <w:rPr>
          <w:b/>
        </w:rPr>
        <w:t>（1）L=1+多步滞后增强有效解决了PEMFC退化预测中的信噪比问题。</w:t>
      </w:r>
      <w:r>
        <w:t xml:space="preserve"> 传统滑动窗口方法在窗口内电压变化（~0.0018V/10h）低于测量噪声（±0.005V）的条件下，无法为模型提供有效的学习信号。L=1将任务转化为"基于历史传感器状态推断当前电压"的单步状态映射（state mapping），</w:t>
      </w:r>
      <w:r>
        <w:rPr>
          <w:highlight w:val="FFFF00"/>
        </w:rPr>
        <w:t>本质上是条件状态推断而非严格意义上的前向外推预测（forecasting）</w:t>
      </w:r>
      <w:r>
        <w:rPr>
          <w:highlight w:val="FFFF00"/>
        </w:rPr>
        <w:t>本质上是条件状态推断而非严格意义上的前向外推预测（forecasting）</w:t>
      </w:r>
      <w:r>
        <w:t>，避开了窗口内信噪比不足的核心矛盾。滞后增强（lag=1,2,4）通过三个时间距离的观测副本，在保留L=1范式的条件下补偿了时序信息损失，同时实现数据量3倍扩展——</w:t>
      </w:r>
      <w:r>
        <w:rPr>
          <w:highlight w:val="FFFF00"/>
        </w:rPr>
        <w:t>FC2从2038增至6114样本，FC1从1151增至3453样本。</w:t>
      </w:r>
      <w:r>
        <w:rPr>
          <w:highlight w:val="FFFF00"/>
        </w:rPr>
        <w:t>FC2从2038增至6114样本，FC1从1151增至3453样本。</w:t>
      </w:r>
    </w:p>
    <w:p>
      <w:pPr/>
      <w:r>
        <w:t>**（2）TFT架构在PEMFC退化预测中表现出</w:t>
      </w:r>
      <w:r>
        <w:rPr>
          <w:highlight w:val="92D050"/>
        </w:rPr>
        <w:t>良好的</w:t>
      </w:r>
      <w:r>
        <w:rPr>
          <w:highlight w:val="92D050"/>
        </w:rPr>
        <w:t>良好的</w:t>
      </w:r>
      <w:r>
        <w:t xml:space="preserve">跨电堆稳定性。** </w:t>
      </w:r>
      <w:r>
        <w:rPr>
          <w:highlight w:val="FFFF00"/>
        </w:rPr>
        <w:t>在FC2（电流纹波）下，TFT在50次独立训练中取得Min R²=0.89, Mean R²=0.95, Max R²=0.98, Top-5集成R²=0.98。在FC1（准静态）下，TFT取得Min R²=0.79, Mean R²=0.90, Max R²=0.93。TFT是在两个可用电堆的所有消融模型中唯一在所有50次训练中均保持正R²的架构。</w:t>
      </w:r>
      <w:r>
        <w:rPr>
          <w:highlight w:val="FFFF00"/>
        </w:rPr>
        <w:t>在FC2（电流纹波）下，TFT在50次独立训练中取得Min R²=0.89, Mean R²=0.95, Max R²=0.98, Top-5集成R²=0.98。在FC1（准静态）下，TFT取得Min R²=0.79, Mean R²=0.90, Max R²=0.93。TFT是在两个可用电堆的所有消融模型中唯一在所有50次训练中均保持正R²的架构。</w:t>
      </w:r>
      <w:r>
        <w:t>消融实验系统验证了各组件的贡献：GRN门控网络是确保训练稳定性的关键——FC1上去掉GRN后Min R²从0.79降至-2.21；Variable Selection赋予流量/温度传感器高权重（DoutH2=0.983），其与SHAP外部分析的高度一致性（Pearson r=0.82）从双重角度验证了模型决策的可信度。DoutH2的高权重具有明确的电化学物理基础——其作为阳极氢气出口流量，退化的膜电极因质子传导率下降导致氢气消耗率下降，进而影响出口氢气量。</w:t>
      </w:r>
    </w:p>
    <w:p>
      <w:pPr/>
      <w:r/>
      <w:r>
        <w:rPr>
          <w:b/>
        </w:rPr>
        <w:t>（3）在本文可用的两电堆数据中观察到模型性能排序在两种工况下完全反转——模型选型应考虑负载特性。</w:t>
      </w:r>
      <w:r>
        <w:t xml:space="preserve"> </w:t>
      </w:r>
      <w:r>
        <w:rPr>
          <w:highlight w:val="FFFF00"/>
        </w:rPr>
        <w:t>FC1（准静态）下，DLinear（L=10）以简洁的趋势分解设计取得Mean R²=0.91，排名第二——缓慢平滑的电压衰减天然适配AvgPool1d的移动平均分解。FC2（纹波）下，DLinear彻底失败（R²≈-4.3）——电流波动使得"趋势"无法通过平滑提取；TSMixer则从FC1的Min R²=0.21飙升至FC2的Min R²=0.95，成为五种模型中训练最稳定的——其纯MLP架构在丰富的动态信息下成功学习了有效的退化映射。这一"模型性能-工况特性关联"现象具有明确的工程指导价值：在已有条件下，准静态应用（如基站备用电源）可优先选用简洁的线性分解模型，动态应用（如车用燃料电池）则需要非线性表征能力更强的架构。然而，鉴于两个电堆各自仅在一种工况下运行，该观察的因果性质——是工况特性还是电堆个体差异驱动了性能排序的反转——无法在当前数据上确定，有待更多跨工况、跨电堆数据的交叉验证。</w:t>
      </w:r>
      <w:r>
        <w:rPr>
          <w:highlight w:val="FFFF00"/>
        </w:rPr>
        <w:t>FC1（准静态）下，DLinear（L=10）以简洁的趋势分解设计取得Mean R²=0.91，排名第二——缓慢平滑的电压衰减天然适配AvgPool1d的移动平均分解。FC2（纹波）下，DLinear彻底失败（R²≈-4.3）——电流波动使得"趋势"无法通过平滑提取；TSMixer则从FC1的Min R²=0.21飙升至FC2的Min R²=0.95，成为五种模型中训练最稳定的——其纯MLP架构在丰富的动态信息下成功学习了有效的退化映射。这一"模型性能-工况特性关联"现象具有明确的工程指导价值：在已有条件下，准静态应用（如基站备用电源）可优先选用简洁的线性分解模型，动态应用（如车用燃料电池）则需要非线性表征能力更强的架构。然而，鉴于两个电堆各自仅在一种工况下运行，该观察的因果性质——是工况特性还是电堆个体差异驱动了性能排序的反转——无法在当前数据上确定，有待更多跨工况、跨电堆数据的交叉验证。</w:t>
      </w:r>
    </w:p>
    <w:p>
      <w:pPr/>
      <w:r>
        <w:t>**（4）Feature Importance</w:t>
      </w:r>
      <w:r>
        <w:rPr>
          <w:highlight w:val="92D050"/>
        </w:rPr>
        <w:t>阐明</w:t>
      </w:r>
      <w:r>
        <w:rPr>
          <w:highlight w:val="92D050"/>
        </w:rPr>
        <w:t>阐明</w:t>
      </w:r>
      <w:r>
        <w:t>了TFT Variable Selection与静态特征筛选方法的本质差异。** Spearman和Random Forest的"重要性"排名主要由电压类传感器主导（U1-U5，|ρ|&gt;0.99）——因为它们是退化的直接表征。TFT的Variable Selection则赋予了流量和温度类传感器更高的权重（DoutH2 0.983，TinH2 0.955）——因为退化虽是结果但其驱动力来自温度、流量、湿度等操作条件对膜电极的长期作用。这一差异与外部SHAP分析的结果高度一致（Pearson r=0.82），从模型内部和外部独立验证了两个层面交叉证实了TFT决策的可信度。从物理洞察角度，这一发现提示研究人员：传统基于线性相关性的特征筛选可能系统性遗漏了对退化具有间接但重要影响的"环境变量"。</w:t>
      </w:r>
    </w:p>
    <w:p>
      <w:pPr/>
      <w:r/>
      <w:r>
        <w:rPr>
          <w:b/>
        </w:rPr>
        <w:t>（5）工况对采样策略具有决定性影响。</w:t>
      </w:r>
      <w:r>
        <w:t xml:space="preserve"> FC1准静态工况需要1h采样（过密降至0.5h使Min R²从0.79降至0.43），FC2电流纹波工况需要0.5h采样（</w:t>
      </w:r>
      <w:r>
        <w:rPr>
          <w:highlight w:val="FFFF00"/>
        </w:rPr>
        <w:t>Min R²达0.89</w:t>
      </w:r>
      <w:r>
        <w:rPr>
          <w:highlight w:val="FFFF00"/>
        </w:rPr>
        <w:t>Min R²达0.89</w:t>
      </w:r>
      <w:r>
        <w:t>）。这一发现具有明确的物理含义和工程指导价值：准静态条件下传感器读数近乎恒定，过密采样提供的是信息冗余而非新信息；纹波条件下的负载动态变化提供了更多"传感器-退化"对应关系的样本，需要更高的时间分辨率来捕获。MC Dropout不确定性量化进一步佐证了这一结论——预测的不确定性在测试集末期逐渐增大（从0.1%升至0.3%），反映了退化末期加速效应对模型预测置信度的削弱。</w:t>
      </w:r>
    </w:p>
    <w:p>
      <w:pPr/>
      <w:r>
        <w:t>**（6）</w:t>
      </w:r>
      <w:r>
        <w:rPr>
          <w:highlight w:val="FFFF00"/>
        </w:rPr>
        <w:t>TSMixer在纹波工况下的优异表现为"无循环网络在时序预测中的潜力"提供了新的实证。</w:t>
      </w:r>
      <w:r>
        <w:rPr>
          <w:highlight w:val="FFFF00"/>
        </w:rPr>
        <w:t>TSMixer在纹波工况下的优异表现为"无循环网络在时序预测中的潜力"提供了新的实证。</w:t>
      </w:r>
      <w:r>
        <w:t>** TSMixer不使用LSTM、Attention或门控机制，仅通过多层特征混合MLP和残差连接，在FC2上取得了五种模型中最高的Min R²（0.95）和Mean R²（0.97）。这表明当数据的信息密度足够高时（纹波工况的传感器动态变化），简单的MLP架构配合残差学习即可达到甚至超越复杂时序模型的性能。然而，TSMixer缺乏内置的可解释性机制——它只能给出预测值，无法像TFT那样提供Variable Selection权重和Attention分布——这在需要"解释预测依据"的工程部署场景中是一个显著劣势。</w:t>
      </w:r>
    </w:p>
    <w:p>
      <w:pPr/>
      <w:r>
        <w:rPr>
          <w:highlight w:val="FFFF00"/>
        </w:rPr>
        <w:t>（7）完整的评估框架为方法的工程部署提供了决策支持基础。</w:t>
      </w:r>
      <w:r>
        <w:rPr>
          <w:highlight w:val="FFFF00"/>
        </w:rPr>
        <w:t>（7）完整的评估框架为方法的工程部署提供了决策支持基础。</w:t>
      </w:r>
      <w:r>
        <w:t xml:space="preserve"> Loop 50评估协议使"训练稳定性"成为可量化指标——论文不仅要报告"模型能有多好"（Max R²），也要诚实报告"模型会不会突然变差"（Min R²）。前者代表方法的能力上限，后者代表工程风险的底线。Spearman+RF+VS+SHAP四重特征重要性验证、MC Dropout不确定性量化——共同构成了从"预测精度"到"为什么可信""置信度多少"的完整证据链。</w:t>
      </w:r>
    </w:p>
    <w:p>
      <w:pPr/>
      <w:r>
        <w:t>本文工作的主要局限在于：(1)数据集仅包含2片同批次电堆、每片约1000小时，无法验证模型在跨批次、跨设计电堆上的泛化能力；(2)L=1形式化无法进行真正的多步外推预测——RUL是通过"预测当前电压直至其穿越失效阈值"间接实现的；(3)未利用PEMFC退化的具体电化学机理知识（如催化剂ECSA衰减方程、膜降解速率等）作为物理约束融入模型。</w:t>
      </w:r>
    </w:p>
    <w:p>
      <w:pPr/>
      <w:r>
        <w:t>未来工作将沿以下方向展开：(1)在更多电堆（&gt;5片）和更长运行时间（&gt;5000小时）的数据集上验证方法的可推广性；(2)探索基于物理信息神经网络（PINN）的方法将退化机理方程嵌入TFT的训练框架；(3)</w:t>
      </w:r>
      <w:r>
        <w:rPr>
          <w:highlight w:val="FFFF00"/>
        </w:rPr>
        <w:t>基于"模型-工况适配"的发现，研究面向真实车用工况（频繁启停、变载、怠速）的自适应模型选择策略；</w:t>
      </w:r>
      <w:r>
        <w:rPr>
          <w:highlight w:val="FFFF00"/>
        </w:rPr>
        <w:t>基于"模型-工况适配"的发现，研究面向真实车用工况（频繁启停、变载、怠速）的自适应模型选择策略；</w:t>
      </w:r>
      <w:r>
        <w:t>(4)开发在线学习策略——使模型能随着新数据的不断采集持续更新，而非仅基于历史数据做一次性预测。</w:t>
      </w:r>
    </w:p>
    <w:p>
      <w:r>
        <w:br w:type="page"/>
      </w:r>
    </w:p>
    <w:p>
      <w:pPr>
        <w:pStyle w:val="Heading1"/>
      </w:pPr>
      <w:r>
        <w:t>参考文献</w:t>
      </w:r>
    </w:p>
    <w:p>
      <w:pPr/>
      <w:r>
        <w:t>[1] U.S. Department of Energy. Fuel Cell Technologies Office: Multi-Year Research, Development, and Demonstration Plan. 2017.</w:t>
      </w:r>
    </w:p>
    <w:p>
      <w:pPr/>
      <w:r>
        <w:t>[2] Jouin M, Gouriveau R, Hissel D, et al. Prognostics and Health Management of PEMFC — State of the art and remaining challenges. International Journal of Hydrogen Energy, 2013, 38(35): 15307-15317.</w:t>
      </w:r>
    </w:p>
    <w:p>
      <w:pPr/>
      <w:r>
        <w:t>[3] Jouin M, Gouriveau R, Hissel D, et al. Particle filter-based prognostics: Review, discussion and perspectives. Mechanical Systems and Signal Processing, 2016, 72-73: 2-31.</w:t>
      </w:r>
    </w:p>
    <w:p>
      <w:pPr/>
      <w:r>
        <w:t>[4] Pei P, Chen H. Main factors affecting the lifetime of Proton Exchange Membrane fuel cells in vehicle applications: A review. Applied Energy, 2014, 125: 60-75.</w:t>
      </w:r>
    </w:p>
    <w:p>
      <w:pPr/>
      <w:r>
        <w:t>[5] Chen H, Pei P, Song M. Lifetime prediction and the economic lifetime of Proton Exchange Membrane fuel cells. Applied Energy, 2015, 142: 154-163.</w:t>
      </w:r>
    </w:p>
    <w:p>
      <w:pPr/>
      <w:r>
        <w:t>[6] IEEE PHM 2014 Data Challenge. Prognostics and Health Management Society, 2014.</w:t>
      </w:r>
    </w:p>
    <w:p>
      <w:pPr/>
      <w:r>
        <w:t>[7] Liu H, Chen J, Hissel D, et al. Remaining useful life estimation for proton exchange membrane fuel cells using a hybrid method. Applied Energy, 2019, 237: 910-919.</w:t>
      </w:r>
    </w:p>
    <w:p>
      <w:pPr/>
      <w:r>
        <w:t>[8] Ma R, Yang T, Breaz E, et al. Data-driven proton exchange membrane fuel cell degradation predication through deep learning method. Applied Energy, 2018, 231: 102-115.</w:t>
      </w:r>
    </w:p>
    <w:p>
      <w:pPr/>
      <w:r>
        <w:t>[9] Zhang X, Pisu P. An integrated unscented Kalman filter and relevance vector regression approach for lithium-ion battery remaining useful life and short-term capacity prediction. Reliability Engineering &amp; System Safety, 2017, 159: 69-80.</w:t>
      </w:r>
    </w:p>
    <w:p>
      <w:pPr/>
      <w:r>
        <w:t>[10] Lim B, Arik S O, Loeff N, et al. Temporal Fusion Transformers for interpretable multi-horizon time series forecasting. International Journal of Forecasting, 2021, 37(4): 1748-1764.</w:t>
      </w:r>
    </w:p>
    <w:p>
      <w:pPr/>
      <w:r>
        <w:t>[11] Hochreiter S, Schmidhuber J. Long Short-Term Memory. Neural Computation, 1997, 9(8): 1735-1780.</w:t>
      </w:r>
    </w:p>
    <w:p>
      <w:pPr/>
      <w:r>
        <w:t>[12] Vaswani A, Shazeer N, Parmar N, et al. Attention is All You Need. Advances in Neural Information Processing Systems (NeurIPS), 2017, 30: 5998-6008.</w:t>
      </w:r>
    </w:p>
    <w:p>
      <w:pPr/>
      <w:r>
        <w:t>[13] Gal Y, Ghahramani Z. Dropout as a Bayesian Approximation: Representing Model Uncertainty in Deep Learning. International Conference on Machine Learning (ICML), 2016: 1050-1059.</w:t>
      </w:r>
    </w:p>
    <w:p>
      <w:pPr/>
      <w:r>
        <w:t>[14] Lundberg S M, Lee S I. A Unified Approach to Interpreting Model Predictions. Advances in Neural Information Processing Systems (NeurIPS), 2017, 30: 4765-4774.</w:t>
      </w:r>
    </w:p>
    <w:p>
      <w:pPr/>
      <w:r>
        <w:t>[15] Savitzky A, Golay M J E. Smoothing and Differentiation of Data by Simplified Least Squares Procedures. Analytical Chemistry, 1964, 36(8): 1627-1639.</w:t>
      </w:r>
    </w:p>
    <w:p>
      <w:pPr/>
      <w:r>
        <w:t>[16] Breiman L. Random Forests. Machine Learning, 2001, 45(1): 5-32.</w:t>
      </w:r>
    </w:p>
    <w:p>
      <w:pPr/>
      <w:r>
        <w:t>[17] Izmailov P, Podoprikhin D, Garipov T, et al. Averaging Weights Leads to Wider Optima and Better Generalization. Uncertainty in Artificial Intelligence (UAI), 2018: 876-885.</w:t>
      </w:r>
    </w:p>
    <w:p>
      <w:pPr/>
      <w:r>
        <w:t>[18] Kingma D P, Ba J. Adam: A Method for Stochastic Optimization. International Conference on Learning Representations (ICLR), 2015.</w:t>
      </w:r>
    </w:p>
    <w:p>
      <w:pPr/>
      <w:r>
        <w:t>[19] Loshchilov I, Hutter F. Decoupled Weight Decay Regularization. International Conference on Learning Representations (ICLR), 2019.</w:t>
      </w:r>
    </w:p>
    <w:p>
      <w:pPr/>
      <w:r>
        <w:t>[20] Chen L, Lai C, Baraldi P, et al. Gradient-enhanced physics-informed long short-term memory network for stable and accurate RUL prediction of electronic components. Reliability Engineering &amp; System Safety, 2026, 265: 109434.</w:t>
      </w:r>
    </w:p>
    <w:p>
      <w:pPr/>
      <w:r>
        <w:t>[21] Zeng A, Chen M, Zhang L, et al. Are Transformers Effective for Time Series Forecasting? Proceedings of the AAAI Conference on Artificial Intelligence, 2023, 37(9): 11121-11128.</w:t>
      </w:r>
    </w:p>
    <w:p>
      <w:pPr/>
      <w:r>
        <w:t>[22] Chen S A, Li C L, Yoder N, et al. TSMixer: An All-MLP Architecture for Time Series Forecasting. Proceedings of the 29th ACM SIGKDD Conference on Knowledge Discovery and Data Mining (KDD), 2023: 211-221.</w:t>
      </w:r>
    </w:p>
    <w:p>
      <w:pPr/>
      <w:r>
        <w:t>[23] Hua J, Li J, Li X, et al. Remaining useful life prediction of PEMFC based on long short-term memory recurrent neural networks. International Journal of Hydrogen Energy, 2019, 44(31): 17021-17029.</w:t>
      </w:r>
    </w:p>
    <w:p>
      <w:pPr/>
      <w:r>
        <w:t>[24] Liu H, Chen J, Hissel D, et al. Short-term prognostics of PEM fuel cells: A comparative and improvement study. IEEE Transactions on Industrial Electronics, 2018, 66(8): 6505-6514.</w:t>
      </w:r>
    </w:p>
    <w:p>
      <w:pPr/>
      <w:r>
        <w:t>[25] Morando S, Jemei S, Hissel D, et al. Proton exchange membrane fuel cell ageing forecasting algorithm based on Echo State Network. International Journal of Hydrogen Energy, 2017, 42(2): 1472-1480.</w:t>
      </w:r>
    </w:p>
    <w:p>
      <w:pPr/>
      <w:r>
        <w:t>[26] Zhou K, Li X, Liu C, et al. Data-driven prediction of remaining useful life for proton exchange membrane fuel cell based on long short-term memory network. Energy, 2020, 204: 117897.</w:t>
      </w:r>
    </w:p>
    <w:p>
      <w:pPr/>
      <w:r>
        <w:t>[27] Zhang Z, Wang Y, He H, et al. A deep learning method based on attention mechanism for PEMFC lifetime prediction. IEEE Transactions on Transportation Electrification, 2021, 7(3): 1052-1063.</w:t>
      </w:r>
    </w:p>
    <w:p>
      <w:pPr/>
      <w:r>
        <w:t>[28] Mayur M, Bessler W G. Combining electrochemical model with data-driven diagnostics to predict remaining useful life of PEM fuel cells. Journal of The Electrochemical Society, 2020, 167(13): 134514.</w:t>
      </w:r>
    </w:p>
    <w:p>
      <w:pPr/>
      <w:r>
        <w:t>[29] Kendall A, Gal Y. What Uncertainties Do We Need in Bayesian Deep Learning for Computer Vision? Advances in Neural Information Processing Systems (NeurIPS), 2017, 30: 5574-5584.</w:t>
      </w:r>
    </w:p>
    <w:p>
      <w:pPr/>
      <w:r>
        <w:t>[30] Akiba T, Sano S, Yanase T, et al. Optuna: A Next-generation Hyperparameter Optimization Framework. Proceedings of the 25th ACM SIGKDD International Conference on Knowledge Discovery &amp; Data Mining, 2019: 2623-2631.</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