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生成日期：2026-10-17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└── 09-类型转换.md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└── 2026-10-17.md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└── 2026-10-17-后续学习与并行计划.md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└── 2026-10-17/A.md ~ D.md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文件读写 I/O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10-文件与IO.md</w:t>
            </w:r>
          </w:p>
        </w:tc>
        <w:tc>
          <w:tcPr>
            <w:tcW w:type="dxa" w:w="2880"/>
          </w:tcPr>
          <w:p>
            <w:r>
              <w:t>本周开始（D1~D14）</w:t>
            </w:r>
          </w:p>
        </w:tc>
      </w:tr>
      <w:tr>
        <w:tc>
          <w:tcPr>
            <w:tcW w:type="dxa" w:w="2880"/>
          </w:tcPr>
          <w:p>
            <w:r>
              <w:t>异常处理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11-异常处理.md</w:t>
            </w:r>
          </w:p>
        </w:tc>
        <w:tc>
          <w:tcPr>
            <w:tcW w:type="dxa" w:w="2880"/>
          </w:tcPr>
          <w:p>
            <w:r>
              <w:t>第 2 周</w:t>
            </w:r>
          </w:p>
        </w:tc>
      </w:tr>
      <w:tr>
        <w:tc>
          <w:tcPr>
            <w:tcW w:type="dxa" w:w="2880"/>
          </w:tcPr>
          <w:p>
            <w:r>
              <w:t>列表/字典推导式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12-推导式.md</w:t>
            </w:r>
          </w:p>
        </w:tc>
        <w:tc>
          <w:tcPr>
            <w:tcW w:type="dxa" w:w="2880"/>
          </w:tcPr>
          <w:p>
            <w:r>
              <w:t>第 2 周</w:t>
            </w:r>
          </w:p>
        </w:tc>
      </w:tr>
      <w:tr>
        <w:tc>
          <w:tcPr>
            <w:tcW w:type="dxa" w:w="2880"/>
          </w:tcPr>
          <w:p>
            <w:r>
              <w:t>面向对象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13-面向对象.md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14-模块与包.md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9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5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r>
        <w:br w:type="page"/>
      </w:r>
    </w:p>
    <w:p>
      <w:pPr>
        <w:pStyle w:val="Heading1"/>
      </w:pPr>
      <w:r>
        <w:t>第 6 章 每日记录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7 章 学习计划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