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固化、断电自启。加入全部十项功能后，实现阶段资源为 LUT 35.38%、寄存器 15.68%、DSP 42.22%、块 RAM 22.00%，时序裕量 +1.552ns、零失败端点。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本作品在实现上贯穿两条主线。其一是“对照”：同一功能尽量给出两种实现并量化比较——4096 点厂商 IP 与手写 1024 点 FFT 同板并存（自研核 LUT 约为 IP 的 28%）；波形识别同时实现规则法与神经网络（后者定点准确率 91.3%，但在 20kHz 处反而不如规则法，两者互补）；窗函数三档可在线切换并给出实测底噪（矩形为另两档的 3.2 倍）。其二是“轻量化”：所有新增功能均在既有引擎上扩展，不新增乘法器、不新增块 RAM——窗函数切换仅多用 1 块 BRAM，帧重叠用几百个 LUT 换取采集时间减半，IFFT 复用同一套蝶形而额外逻辑代价几乎为零。加入全部功能后，设计仍稳定在 LUT 35.38%、寄存器 15.68%。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并行存在，同一信号可同时得到两组频谱读数，可直接比对资源与精度。裸核同口径下自研核 LUT 约为 IP 的 28%、寄存器约 14%，而每点 LUT 为 0.49 对 0.43，属同一量级 —— 说明手写实现的资源效率达到商用 IP 水准，且控制逻辑全部以可读 RTL 呈现。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35.38%、寄存器 15.68%、DSP 42.22%、块 RAM 22.00%，LUT 仍留有约六成余量，时序裕量 +1.552ns。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35.38% / FF 15.68%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+1.552ns，0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同板对照：自主 1024 点 FFT 核仅 502 LUT / 346 FF / 7 DSP，为厂商 4096 点 IP（1771 / 2550 / 9）的 28.3%，并叠加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 LUT（35.38%）/ 6,521 FF（15.68%）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+1.552ns，零失败端点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十项新增功能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合计约 1,270 LUT（神经网络 920、谱帧 210、上报 140）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占全设计 17.3%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</w:t>
      </w:r>
      <w:r>
        <w:rPr>
          <w:rFonts w:ascii="Times New Roman" w:hAnsi="Times New Roman" w:eastAsia="宋体"/>
          <w:sz w:val="24"/>
          <w:b/>
        </w:rPr>
        <w:t xml:space="preserve">十项新增功能合计仅 1,270 LUT（占全设计 17.3%）</w:t>
      </w:r>
      <w:r>
        <w:rPr>
          <w:rFonts w:ascii="Times New Roman" w:hAnsi="Times New Roman" w:eastAsia="宋体"/>
          <w:sz w:val="24"/>
        </w:rPr>
        <w:t xml:space="preserve">，其中神经网络本身占 920 LUT，已是最大单项。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35.38%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7,358（35.38%）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6,521（15.68%）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28%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`TY=` 行采用哪一路结果，默认保持规则法。切换时硬件内部完成类别编码的互换（两者原生编码不同），因此 `TY=`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