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50679">
      <w:pPr>
        <w:pStyle w:val="3"/>
        <w:spacing w:line="360" w:lineRule="auto"/>
        <w:jc w:val="center"/>
        <w:rPr>
          <w:rFonts w:hint="eastAsia"/>
          <w:sz w:val="36"/>
        </w:rPr>
      </w:pPr>
      <w:bookmarkStart w:id="0" w:name="_GoBack"/>
      <w:bookmarkEnd w:id="0"/>
      <w:r>
        <w:rPr>
          <w:sz w:val="36"/>
        </w:rPr>
        <w:t>WaveCore：基于 FPGA 的多功能信号测量与频谱分析系统</w:t>
      </w:r>
    </w:p>
    <w:p w14:paraId="53FC5F33">
      <w:pPr>
        <w:tabs>
          <w:tab w:val="left" w:pos="6524"/>
        </w:tabs>
        <w:spacing w:line="360" w:lineRule="auto"/>
        <w:rPr>
          <w:rFonts w:ascii="Times New Roman" w:hAnsi="Times New Roman" w:eastAsia="宋体" w:cs="Times New Roman"/>
          <w:b/>
          <w:sz w:val="28"/>
        </w:rPr>
      </w:pPr>
      <w:r>
        <w:rPr>
          <w:rFonts w:hint="eastAsia" w:ascii="Times New Roman" w:hAnsi="Times New Roman" w:eastAsia="宋体" w:cs="Times New Roman"/>
          <w:b/>
          <w:sz w:val="28"/>
        </w:rPr>
        <w:t>摘要</w:t>
      </w:r>
      <w:r>
        <w:rPr>
          <w:rFonts w:ascii="Times New Roman" w:hAnsi="Times New Roman" w:eastAsia="宋体" w:cs="Times New Roman"/>
          <w:b/>
          <w:sz w:val="28"/>
        </w:rPr>
        <w:tab/>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WaveCore 是一套在 XC7A35T 上以纯 RTL 实现的信号测量与频谱分析系统。片内 DDS 产生信号、DAC 输出、回环至 ADC，再由同一芯片完成测量与分析，不接外部仪器即可自检。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系统覆盖九类功能、十六项特性：1Hz~12.5MHz 信号源（分辨率 0.0116Hz，含双音）；100Hz~1MHz 频率测量（误差&lt;1%）及峰峰值、占空比、脉宽；自研 1024 点 FFT 与厂商 4096 点 IP FFT 双通路；1024 点波形上传、三种触发、四档预触发；512 点谱帧与瀑布图、扫频；窗切换、帧重叠、谱平均、IFFT 回放；波形识别；锁相放大。</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主要指标：整片 LUT 7886（37.91%）、FF 7082（17.02%）、BRAM 12（24.00%）、DSP 40（44.44%），50MHz 下 WNS +0.613ns、零失败端点。自研 FFT 核 502 LUT / 346 FF / 7 DSP，约为厂商 IP 核的三分之一。加 Hann 窗与抛物线插值后，泄漏由 14.7% 降至 0.9%，1kHz 读数由 976Hz 修正至 999Hz，误差 0.1%；电压测量在 1~4V 内最大偏差 2.8%、平均 0.8%。</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波形识别用规则法与神经网络两条通路，强项互补：规则法方波可至 400kHz，神经网络正弦 400kHz、三角 200kHz。0x96 支持强制单路或自动选源，自动模式按「一致采信、一方不确定则信另一方、分歧时按频率仲裁」三层判据决策，1kHz~200kHz 三波形 18 组全对。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另实现数字锁相放大。信号被噪声淹没至 −18.8dB（信号功率仅为噪声的 1/76）时，常规峰峰值读数偏离真值 12 倍，锁相仍以 0.8% 误差给出幅度，代价是积分 32 个周期（1kHz 下约 32ms）。</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时基四档，T3/T4 为高频频谱档，频谱最高观测 6.25MHz；波形帧固定 50kHz 采样。通信为 UART 460800-8N1，协议 v1.24 共 28 条命令；固件已固化至 Flash，上电自启。</w:t>
      </w:r>
    </w:p>
    <w:p w14:paraId="207EC557">
      <w:pPr>
        <w:spacing w:line="360" w:lineRule="auto"/>
        <w:rPr>
          <w:rFonts w:ascii="Times New Roman" w:hAnsi="Times New Roman" w:eastAsia="宋体" w:cs="Times New Roman"/>
          <w:b/>
          <w:sz w:val="28"/>
        </w:rPr>
      </w:pPr>
    </w:p>
    <w:p w14:paraId="207EC557">
      <w:pPr>
        <w:rPr>
          <w:rFonts w:ascii="Times New Roman" w:hAnsi="Times New Roman" w:eastAsia="宋体" w:cs="Times New Roman"/>
          <w:b/>
          <w:sz w:val="28"/>
        </w:rPr>
        <w:jc w:val="center"/>
        <w:pageBreakBefore/>
        <w:spacing w:line="360" w:lineRule="auto" w:after="120"/>
      </w:pPr>
      <w:r>
        <w:rPr>
          <w:rFonts w:ascii="Times New Roman" w:hAnsi="Times New Roman" w:eastAsia="宋体"/>
          <w:sz w:val="28"/>
          <w:b/>
        </w:rPr>
        <w:t xml:space="preserve">目　　录</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第一部分  作品概述 ··············   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1.1 功能与特性 ················   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1.2 应用领域 ··················   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1.3 主要技术特点 ··············   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1.4 主要性能指标 ··············   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1.5 主要创新点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1.6 设计流程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第二部分  系统组成及功能说明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2.1 整体介绍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2.2 硬件系统介绍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2.2.1 硬件整体介绍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2.2.2 机械设计介绍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2.2.3 电路各模块介绍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2.3 软件系统介绍 ··············  10</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2.3.1 软件整体介绍 ··········  10</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2.3.2 软件各模块介绍 ········  11</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第三部分  完成情况及性能参数 ····  15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3.1 整体介绍 ··················  15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3.2 工程成果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3.2.1 机械成果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3.2.2 电路成果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3.2.3 软件成果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3.3 特性成果 ··················  18</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3.4 设计取舍 ··················  22</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3.4.1 频谱核：自研 1024 点，而非直接例化 IP ····  22</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3.4.2 点数与精度：用 1/4 的点数，达到同等的频率精度 ····  23</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3.4.3 锁相：数字相干解调，而非模拟相敏检波 ····  23</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3.5 扩展应用：二端网络的幅频与相频测量 ····  24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3.5.1 方法：直通校准 ········  24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3.5.2 系统自身响应（直通） ····  25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3.5.3 被测件：一阶有源低通 ····  25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3.5.4 相位测量与系统延迟的分离 ····  27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3.5.5 顺带得到的一条量程边界 ····  27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3.5.6 工程说明 ··············  27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3.6 工具版本与复现性说明 ······  28</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第四部分  总结 ··················  29</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4.1 可扩展之处 ················  29</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4.2 心得体会 ··················  29</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第五部分  参考文献 ··············  30</w:t>
      </w:r>
    </w:p>
    <w:p w14:paraId="3A655E1E">
      <w:pPr>
        <w:pageBreakBefore/>
        <w:spacing w:line="360" w:lineRule="auto"/>
        <w:rPr>
          <w:rFonts w:ascii="Times New Roman" w:hAnsi="Times New Roman" w:eastAsia="宋体" w:cs="Times New Roman"/>
          <w:b/>
          <w:sz w:val="28"/>
        </w:rPr>
      </w:pPr>
      <w:r>
        <w:rPr>
          <w:rFonts w:hint="eastAsia" w:ascii="Times New Roman" w:hAnsi="Times New Roman" w:eastAsia="宋体" w:cs="Times New Roman"/>
          <w:b/>
          <w:sz w:val="28"/>
        </w:rPr>
        <w:t xml:space="preserve">第一部分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作品概述</w:t>
      </w:r>
    </w:p>
    <w:p w14:paraId="5DD871A0">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功能与特性</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（1）信号源：32 位 NCO + 256 点正弦表，1Hz~12.5MHz，分辨率 0.0116Hz，四种波形。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（2）参数测量：频率 100Hz~1MHz 误差&lt;1%，另给峰峰值、占空比与脉宽。</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（3）频谱：自研 1024 点 FFT 与厂商 4096 点 IP FFT 两条通路。自研含 Hann 窗与抛物线插值，输出基波与 3、5 次谐波，覆盖 0~6.25MHz；IP 通路服务 0~25kHz。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（4）高频档：四档时基，最高 fs=12.5MHz，频谱可观测到 6.25MHz。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（5）波形与触发：1024 点上传，自由/上升沿/下降沿，预触发 0/25/50/75%。</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（6）频谱可视化：512 点幅度谱帧，柱状图与瀑布图，支持扫频。</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（7）频域处理：窗切换、50% 帧重叠、8 帧谱平均、IFFT 滤波与回放。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（8）锁相放大：正交解调加整周期累加，可从噪声中提取微弱信号。</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（9）波形识别：规则法与神经网络并行，输出正弦/方波/三角/其他。</w:t>
      </w:r>
    </w:p>
    <w:p w14:paraId="38423567">
      <w:pPr>
        <w:pStyle w:val="12"/>
        <w:spacing w:line="360" w:lineRule="auto"/>
        <w:ind w:left="420" w:firstLine="0" w:firstLineChars="0"/>
        <w:rPr>
          <w:rFonts w:ascii="Times New Roman" w:hAnsi="Times New Roman" w:eastAsia="宋体" w:cs="Times New Roman"/>
          <w:sz w:val="24"/>
        </w:rPr>
      </w:pPr>
    </w:p>
    <w:p w14:paraId="5F0789CE">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应用领域</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本系统面向不具备外部仪器的现场与教学场景：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（1）嵌入式设备自检：产线与现场通常没有信号源和示波器，板内回环可完成采集通道与测量算法的通电自检。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（2）教学实验：一套板卡覆盖信号源、示波器、频谱仪三类实验内容，包括频率、幅值、占空比与谐波观测。</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（3）传感器与执行器调试：对 100Hz~1MHz 的周期信号给出频率、峰峰值与波形类型。</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（4）频谱观测：0~6.25MHz 内的谐波与边带观测，配合瀑布图观察频率随时间的变化。</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（5）二次开发：串口协议公开（v1.24，28 条命令），可作被测端或数据采集前端接入其它系统。</w:t>
      </w:r>
    </w:p>
    <w:p w14:paraId="5F6A5959">
      <w:pPr>
        <w:pStyle w:val="12"/>
        <w:spacing w:line="360" w:lineRule="auto"/>
        <w:ind w:left="420" w:firstLine="0" w:firstLineChars="0"/>
        <w:rPr>
          <w:rFonts w:ascii="Times New Roman" w:hAnsi="Times New Roman" w:eastAsia="宋体" w:cs="Times New Roman"/>
          <w:sz w:val="24"/>
        </w:rPr>
      </w:pPr>
    </w:p>
    <w:p w14:paraId="0DF29DAD">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主要技术特点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（1）两条 FFT 通路分工覆盖。自研 1024 点核覆盖 0~6.25MHz 全频段；厂商 4096 点 IP 核实测在抽取比低于 100 时无法完成一帧，故服务 0~25kHz。两者不在同一频段，是分工而非等价替换。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（2）自研核轻量。16 位定点、DIF 结构、旋转因子共享 ROM，1024 点占 502 LUT / 346 FF / 7 DSP，约为 IP 核的三分之一。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（3）精度由算法而非点数获得。Hann 窗把泄漏压到 0.9%，抛物线插值把频率误差由 2.4% 降到 0.1%，点数不变。</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（4）扩展复用既有引擎。窗切换、帧重叠、IFFT、谱平均均在原数据通路上扩展，未新增乘法器与块 RAM。</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（5）板内闭环。DDS→DAC→ADC 构成回路，无需外部仪器即可验证全链路。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（6）单一串口承载全部数据。460800-8N1，测量行与二进制帧共用一条链路，帧率 21.2 帧/s。</w:t>
      </w:r>
    </w:p>
    <w:p w14:paraId="6955DAAA">
      <w:pPr>
        <w:pStyle w:val="12"/>
        <w:spacing w:line="360" w:lineRule="auto"/>
        <w:ind w:left="420" w:firstLine="0" w:firstLineChars="0"/>
        <w:rPr>
          <w:rFonts w:ascii="Times New Roman" w:hAnsi="Times New Roman" w:eastAsia="宋体" w:cs="Times New Roman"/>
          <w:sz w:val="24"/>
        </w:rPr>
      </w:pPr>
    </w:p>
    <w:p w14:paraId="1DB2A7C4">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主要性能指标</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项目</w:t>
            </w:r>
          </w:p>
        </w:tc>
        <w:tc>
          <w:tcPr>
            <w:tcW w:type="dxa" w:w="2041"/>
            <w:tcBorders>
              <w:bottom w:val="single" w:sz="6"/>
            </w:tcBorders>
          </w:tcPr>
          <w:p>
            <w:pPr>
              <w:spacing w:before="20" w:after="20"/>
              <w:jc w:val="center"/>
            </w:pPr>
            <w:r>
              <w:rPr>
                <w:rFonts w:ascii="Times New Roman" w:hAnsi="Times New Roman" w:eastAsia="宋体"/>
                <w:b/>
                <w:sz w:val="18"/>
              </w:rPr>
              <w:t>指标</w:t>
            </w:r>
          </w:p>
        </w:tc>
        <w:tc>
          <w:tcPr>
            <w:tcW w:type="dxa" w:w="2041"/>
            <w:tcBorders>
              <w:bottom w:val="single" w:sz="6"/>
            </w:tcBorders>
          </w:tcPr>
          <w:p>
            <w:pPr>
              <w:spacing w:before="20" w:after="20"/>
              <w:jc w:val="center"/>
            </w:pPr>
            <w:r>
              <w:rPr>
                <w:rFonts w:ascii="Times New Roman" w:hAnsi="Times New Roman" w:eastAsia="宋体"/>
                <w:b/>
                <w:sz w:val="18"/>
              </w:rPr>
              <w:t>项目</w:t>
            </w:r>
          </w:p>
        </w:tc>
        <w:tc>
          <w:tcPr>
            <w:tcW w:type="dxa" w:w="2041"/>
            <w:tcBorders>
              <w:bottom w:val="single" w:sz="6"/>
            </w:tcBorders>
          </w:tcPr>
          <w:p>
            <w:pPr>
              <w:spacing w:before="20" w:after="20"/>
              <w:jc w:val="center"/>
            </w:pPr>
            <w:r>
              <w:rPr>
                <w:rFonts w:ascii="Times New Roman" w:hAnsi="Times New Roman" w:eastAsia="宋体"/>
                <w:b/>
                <w:sz w:val="18"/>
              </w:rPr>
              <w:t>指标</w:t>
            </w:r>
          </w:p>
        </w:tc>
      </w:tr>
      <w:tr>
        <w:trPr>
          <w:cantSplit/>
        </w:trPr>
        <w:tc>
          <w:tcPr>
            <w:tcW w:type="dxa" w:w="2041"/>
          </w:tcPr>
          <w:p>
            <w:pPr>
              <w:spacing w:before="20" w:after="20"/>
              <w:jc w:val="center"/>
            </w:pPr>
            <w:r>
              <w:rPr>
                <w:rFonts w:ascii="Times New Roman" w:hAnsi="Times New Roman" w:eastAsia="宋体"/>
                <w:sz w:val="18"/>
              </w:rPr>
              <w:t>信号源</w:t>
            </w:r>
          </w:p>
        </w:tc>
        <w:tc>
          <w:tcPr>
            <w:tcW w:type="dxa" w:w="2041"/>
          </w:tcPr>
          <w:p>
            <w:pPr>
              <w:spacing w:before="20" w:after="20"/>
              <w:jc w:val="center"/>
            </w:pPr>
            <w:r>
              <w:rPr>
                <w:rFonts w:ascii="Times New Roman" w:hAnsi="Times New Roman" w:eastAsia="宋体"/>
                <w:sz w:val="18"/>
              </w:rPr>
              <w:t>1Hz~12.5MHz，分辨率 0.0116Hz</w:t>
            </w:r>
          </w:p>
        </w:tc>
        <w:tc>
          <w:tcPr>
            <w:tcW w:type="dxa" w:w="2041"/>
          </w:tcPr>
          <w:p>
            <w:pPr>
              <w:spacing w:before="20" w:after="20"/>
              <w:jc w:val="center"/>
            </w:pPr>
            <w:r>
              <w:rPr>
                <w:rFonts w:ascii="Times New Roman" w:hAnsi="Times New Roman" w:eastAsia="宋体"/>
                <w:sz w:val="18"/>
              </w:rPr>
              <w:t>频率测量</w:t>
            </w:r>
          </w:p>
        </w:tc>
        <w:tc>
          <w:tcPr>
            <w:tcW w:type="dxa" w:w="2041"/>
          </w:tcPr>
          <w:p>
            <w:pPr>
              <w:spacing w:before="20" w:after="20"/>
              <w:jc w:val="center"/>
            </w:pPr>
            <w:r>
              <w:rPr>
                <w:rFonts w:ascii="Times New Roman" w:hAnsi="Times New Roman" w:eastAsia="宋体"/>
                <w:sz w:val="18"/>
              </w:rPr>
              <w:t>100Hz~1MHz，误差 &lt;1%</w:t>
            </w:r>
          </w:p>
        </w:tc>
      </w:tr>
      <w:tr>
        <w:trPr>
          <w:cantSplit/>
        </w:trPr>
        <w:tc>
          <w:tcPr>
            <w:tcW w:type="dxa" w:w="2041"/>
          </w:tcPr>
          <w:p>
            <w:pPr>
              <w:spacing w:before="20" w:after="20"/>
              <w:jc w:val="center"/>
            </w:pPr>
            <w:r>
              <w:rPr>
                <w:rFonts w:ascii="Times New Roman" w:hAnsi="Times New Roman" w:eastAsia="宋体"/>
                <w:sz w:val="18"/>
              </w:rPr>
              <w:t>波形种类</w:t>
            </w:r>
          </w:p>
        </w:tc>
        <w:tc>
          <w:tcPr>
            <w:tcW w:type="dxa" w:w="2041"/>
          </w:tcPr>
          <w:p>
            <w:pPr>
              <w:spacing w:before="20" w:after="20"/>
              <w:jc w:val="center"/>
            </w:pPr>
            <w:r>
              <w:rPr>
                <w:rFonts w:ascii="Times New Roman" w:hAnsi="Times New Roman" w:eastAsia="宋体"/>
                <w:sz w:val="18"/>
              </w:rPr>
              <w:t>正弦 / 方波 / 三角 / 双音</w:t>
            </w:r>
          </w:p>
        </w:tc>
        <w:tc>
          <w:tcPr>
            <w:tcW w:type="dxa" w:w="2041"/>
          </w:tcPr>
          <w:p>
            <w:pPr>
              <w:spacing w:before="20" w:after="20"/>
              <w:jc w:val="center"/>
            </w:pPr>
            <w:r>
              <w:rPr>
                <w:rFonts w:ascii="Times New Roman" w:hAnsi="Times New Roman" w:eastAsia="宋体"/>
                <w:sz w:val="18"/>
              </w:rPr>
              <w:t>电压测量</w:t>
            </w:r>
          </w:p>
        </w:tc>
        <w:tc>
          <w:tcPr>
            <w:tcW w:type="dxa" w:w="2041"/>
          </w:tcPr>
          <w:p>
            <w:pPr>
              <w:spacing w:before="20" w:after="20"/>
              <w:jc w:val="center"/>
            </w:pPr>
            <w:r>
              <w:rPr>
                <w:rFonts w:ascii="Times New Roman" w:hAnsi="Times New Roman" w:eastAsia="宋体"/>
                <w:sz w:val="18"/>
              </w:rPr>
              <w:t>1~4V 内最大偏差 2.8%</w:t>
            </w:r>
          </w:p>
        </w:tc>
      </w:tr>
      <w:tr>
        <w:trPr>
          <w:cantSplit/>
        </w:trPr>
        <w:tc>
          <w:tcPr>
            <w:tcW w:type="dxa" w:w="2041"/>
          </w:tcPr>
          <w:p>
            <w:pPr>
              <w:spacing w:before="20" w:after="20"/>
              <w:jc w:val="center"/>
            </w:pPr>
            <w:r>
              <w:rPr>
                <w:rFonts w:ascii="Times New Roman" w:hAnsi="Times New Roman" w:eastAsia="宋体"/>
                <w:sz w:val="18"/>
              </w:rPr>
              <w:t>频谱</w:t>
            </w:r>
          </w:p>
        </w:tc>
        <w:tc>
          <w:tcPr>
            <w:tcW w:type="dxa" w:w="2041"/>
          </w:tcPr>
          <w:p>
            <w:pPr>
              <w:spacing w:before="20" w:after="20"/>
              <w:jc w:val="center"/>
            </w:pPr>
            <w:r>
              <w:rPr>
                <w:rFonts w:ascii="Times New Roman" w:hAnsi="Times New Roman" w:eastAsia="宋体"/>
                <w:sz w:val="18"/>
              </w:rPr>
              <w:t>IP 4096 点 + 自研 1024 点，最高观测 6.25MHz</w:t>
            </w:r>
          </w:p>
        </w:tc>
        <w:tc>
          <w:tcPr>
            <w:tcW w:type="dxa" w:w="2041"/>
          </w:tcPr>
          <w:p>
            <w:pPr>
              <w:spacing w:before="20" w:after="20"/>
              <w:jc w:val="center"/>
            </w:pPr>
            <w:r>
              <w:rPr>
                <w:rFonts w:ascii="Times New Roman" w:hAnsi="Times New Roman" w:eastAsia="宋体"/>
                <w:sz w:val="18"/>
              </w:rPr>
              <w:t>频率精度</w:t>
            </w:r>
          </w:p>
        </w:tc>
        <w:tc>
          <w:tcPr>
            <w:tcW w:type="dxa" w:w="2041"/>
          </w:tcPr>
          <w:p>
            <w:pPr>
              <w:spacing w:before="20" w:after="20"/>
              <w:jc w:val="center"/>
            </w:pPr>
            <w:r>
              <w:rPr>
                <w:rFonts w:ascii="Times New Roman" w:hAnsi="Times New Roman" w:eastAsia="宋体"/>
                <w:sz w:val="18"/>
              </w:rPr>
              <w:t>插值后 1kHz 报 999Hz（0.1%）</w:t>
            </w:r>
          </w:p>
        </w:tc>
      </w:tr>
      <w:tr>
        <w:trPr>
          <w:cantSplit/>
        </w:trPr>
        <w:tc>
          <w:tcPr>
            <w:tcW w:type="dxa" w:w="2041"/>
          </w:tcPr>
          <w:p>
            <w:pPr>
              <w:spacing w:before="20" w:after="20"/>
              <w:jc w:val="center"/>
            </w:pPr>
            <w:r>
              <w:rPr>
                <w:rFonts w:ascii="Times New Roman" w:hAnsi="Times New Roman" w:eastAsia="宋体"/>
                <w:sz w:val="18"/>
              </w:rPr>
              <w:t>锁相放大</w:t>
            </w:r>
          </w:p>
        </w:tc>
        <w:tc>
          <w:tcPr>
            <w:tcW w:type="dxa" w:w="2041"/>
          </w:tcPr>
          <w:p>
            <w:pPr>
              <w:spacing w:before="20" w:after="20"/>
              <w:jc w:val="center"/>
            </w:pPr>
            <w:r>
              <w:rPr>
                <w:rFonts w:ascii="Times New Roman" w:hAnsi="Times New Roman" w:eastAsia="宋体"/>
                <w:sz w:val="18"/>
              </w:rPr>
              <w:t>SNR −18.8dB 下幅度误差 0.8%</w:t>
            </w:r>
          </w:p>
        </w:tc>
        <w:tc>
          <w:tcPr>
            <w:tcW w:type="dxa" w:w="2041"/>
          </w:tcPr>
          <w:p>
            <w:pPr>
              <w:spacing w:before="20" w:after="20"/>
              <w:jc w:val="center"/>
            </w:pPr>
            <w:r>
              <w:rPr>
                <w:rFonts w:ascii="Times New Roman" w:hAnsi="Times New Roman" w:eastAsia="宋体"/>
                <w:sz w:val="18"/>
              </w:rPr>
              <w:t>积分时间</w:t>
            </w:r>
          </w:p>
        </w:tc>
        <w:tc>
          <w:tcPr>
            <w:tcW w:type="dxa" w:w="2041"/>
          </w:tcPr>
          <w:p>
            <w:pPr>
              <w:spacing w:before="20" w:after="20"/>
              <w:jc w:val="center"/>
            </w:pPr>
            <w:r>
              <w:rPr>
                <w:rFonts w:ascii="Times New Roman" w:hAnsi="Times New Roman" w:eastAsia="宋体"/>
                <w:sz w:val="18"/>
              </w:rPr>
              <w:t>32 周期可调（1kHz 约 32ms）</w:t>
            </w:r>
          </w:p>
        </w:tc>
      </w:tr>
      <w:tr>
        <w:trPr>
          <w:cantSplit/>
        </w:trPr>
        <w:tc>
          <w:tcPr>
            <w:tcW w:type="dxa" w:w="2041"/>
          </w:tcPr>
          <w:p>
            <w:pPr>
              <w:spacing w:before="20" w:after="20"/>
              <w:jc w:val="center"/>
            </w:pPr>
            <w:r>
              <w:rPr>
                <w:rFonts w:ascii="Times New Roman" w:hAnsi="Times New Roman" w:eastAsia="宋体"/>
                <w:sz w:val="18"/>
              </w:rPr>
              <w:t>自研 FFT 范围</w:t>
            </w:r>
          </w:p>
        </w:tc>
        <w:tc>
          <w:tcPr>
            <w:tcW w:type="dxa" w:w="2041"/>
          </w:tcPr>
          <w:p>
            <w:pPr>
              <w:spacing w:before="20" w:after="20"/>
              <w:jc w:val="center"/>
            </w:pPr>
            <w:r>
              <w:rPr>
                <w:rFonts w:ascii="Times New Roman" w:hAnsi="Times New Roman" w:eastAsia="宋体"/>
                <w:sz w:val="18"/>
              </w:rPr>
              <w:t>48.8~24951Hz（T1）/ 12.2~6238Hz（T2）</w:t>
            </w:r>
          </w:p>
        </w:tc>
        <w:tc>
          <w:tcPr>
            <w:tcW w:type="dxa" w:w="2041"/>
          </w:tcPr>
          <w:p>
            <w:pPr>
              <w:spacing w:before="20" w:after="20"/>
              <w:jc w:val="center"/>
            </w:pPr>
            <w:r>
              <w:rPr>
                <w:rFonts w:ascii="Times New Roman" w:hAnsi="Times New Roman" w:eastAsia="宋体"/>
                <w:sz w:val="18"/>
              </w:rPr>
              <w:t>幅度谱帧</w:t>
            </w:r>
          </w:p>
        </w:tc>
        <w:tc>
          <w:tcPr>
            <w:tcW w:type="dxa" w:w="2041"/>
          </w:tcPr>
          <w:p>
            <w:pPr>
              <w:spacing w:before="20" w:after="20"/>
              <w:jc w:val="center"/>
            </w:pPr>
            <w:r>
              <w:rPr>
                <w:rFonts w:ascii="Times New Roman" w:hAnsi="Times New Roman" w:eastAsia="宋体"/>
                <w:sz w:val="18"/>
              </w:rPr>
              <w:t>512 bin，帧率 21.2 帧/s</w:t>
            </w:r>
          </w:p>
        </w:tc>
      </w:tr>
      <w:tr>
        <w:trPr>
          <w:cantSplit/>
        </w:trPr>
        <w:tc>
          <w:tcPr>
            <w:tcW w:type="dxa" w:w="2041"/>
          </w:tcPr>
          <w:p>
            <w:pPr>
              <w:spacing w:before="20" w:after="20"/>
              <w:jc w:val="center"/>
            </w:pPr>
            <w:r>
              <w:rPr>
                <w:rFonts w:ascii="Times New Roman" w:hAnsi="Times New Roman" w:eastAsia="宋体"/>
                <w:sz w:val="18"/>
              </w:rPr>
              <w:t>触发</w:t>
            </w:r>
          </w:p>
        </w:tc>
        <w:tc>
          <w:tcPr>
            <w:tcW w:type="dxa" w:w="2041"/>
          </w:tcPr>
          <w:p>
            <w:pPr>
              <w:spacing w:before="20" w:after="20"/>
              <w:jc w:val="center"/>
            </w:pPr>
            <w:r>
              <w:rPr>
                <w:rFonts w:ascii="Times New Roman" w:hAnsi="Times New Roman" w:eastAsia="宋体"/>
                <w:sz w:val="18"/>
              </w:rPr>
              <w:t>自由 / 上升沿 / 下降沿</w:t>
            </w:r>
          </w:p>
        </w:tc>
        <w:tc>
          <w:tcPr>
            <w:tcW w:type="dxa" w:w="2041"/>
          </w:tcPr>
          <w:p>
            <w:pPr>
              <w:spacing w:before="20" w:after="20"/>
              <w:jc w:val="center"/>
            </w:pPr>
            <w:r>
              <w:rPr>
                <w:rFonts w:ascii="Times New Roman" w:hAnsi="Times New Roman" w:eastAsia="宋体"/>
                <w:sz w:val="18"/>
              </w:rPr>
              <w:t>预触发</w:t>
            </w:r>
          </w:p>
        </w:tc>
        <w:tc>
          <w:tcPr>
            <w:tcW w:type="dxa" w:w="2041"/>
          </w:tcPr>
          <w:p>
            <w:pPr>
              <w:spacing w:before="20" w:after="20"/>
              <w:jc w:val="center"/>
            </w:pPr>
            <w:r>
              <w:rPr>
                <w:rFonts w:ascii="Times New Roman" w:hAnsi="Times New Roman" w:eastAsia="宋体"/>
                <w:sz w:val="18"/>
              </w:rPr>
              <w:t>0 / 25 / 50 / 75%</w:t>
            </w:r>
          </w:p>
        </w:tc>
      </w:tr>
      <w:tr>
        <w:trPr>
          <w:cantSplit/>
        </w:trPr>
        <w:tc>
          <w:tcPr>
            <w:tcW w:type="dxa" w:w="2041"/>
          </w:tcPr>
          <w:p>
            <w:pPr>
              <w:spacing w:before="20" w:after="20"/>
              <w:jc w:val="center"/>
            </w:pPr>
            <w:r>
              <w:rPr>
                <w:rFonts w:ascii="Times New Roman" w:hAnsi="Times New Roman" w:eastAsia="宋体"/>
                <w:sz w:val="18"/>
              </w:rPr>
              <w:t>资源</w:t>
            </w:r>
          </w:p>
        </w:tc>
        <w:tc>
          <w:tcPr>
            <w:tcW w:type="dxa" w:w="2041"/>
          </w:tcPr>
          <w:p>
            <w:pPr>
              <w:spacing w:before="20" w:after="20"/>
              <w:jc w:val="center"/>
            </w:pPr>
            <w:r>
              <w:rPr>
                <w:rFonts w:ascii="Times New Roman" w:hAnsi="Times New Roman" w:eastAsia="宋体"/>
                <w:sz w:val="18"/>
              </w:rPr>
              <w:t>LUT 37.91% / FF 17.02% / BRAM 24.00% / DSP 44.44%</w:t>
            </w:r>
          </w:p>
        </w:tc>
        <w:tc>
          <w:tcPr>
            <w:tcW w:type="dxa" w:w="2041"/>
          </w:tcPr>
          <w:p>
            <w:pPr>
              <w:spacing w:before="20" w:after="20"/>
              <w:jc w:val="center"/>
            </w:pPr>
            <w:r>
              <w:rPr>
                <w:rFonts w:ascii="Times New Roman" w:hAnsi="Times New Roman" w:eastAsia="宋体"/>
                <w:sz w:val="18"/>
              </w:rPr>
              <w:t>时序</w:t>
            </w:r>
          </w:p>
        </w:tc>
        <w:tc>
          <w:tcPr>
            <w:tcW w:type="dxa" w:w="2041"/>
          </w:tcPr>
          <w:p>
            <w:pPr>
              <w:spacing w:before="20" w:after="20"/>
              <w:jc w:val="center"/>
            </w:pPr>
            <w:r>
              <w:rPr>
                <w:rFonts w:ascii="Times New Roman" w:hAnsi="Times New Roman" w:eastAsia="宋体"/>
                <w:sz w:val="18"/>
              </w:rPr>
              <w:t>WNS +0.613ns，0 失败端点</w:t>
            </w:r>
          </w:p>
        </w:tc>
      </w:tr>
      <w:tr>
        <w:trPr>
          <w:cantSplit/>
        </w:trPr>
        <w:tc>
          <w:tcPr>
            <w:tcW w:type="dxa" w:w="2041"/>
          </w:tcPr>
          <w:p>
            <w:pPr>
              <w:spacing w:before="20" w:after="20"/>
              <w:jc w:val="center"/>
            </w:pPr>
            <w:r>
              <w:rPr>
                <w:rFonts w:ascii="Times New Roman" w:hAnsi="Times New Roman" w:eastAsia="宋体"/>
                <w:sz w:val="18"/>
              </w:rPr>
              <w:t>通信</w:t>
            </w:r>
          </w:p>
        </w:tc>
        <w:tc>
          <w:tcPr>
            <w:tcW w:type="dxa" w:w="2041"/>
          </w:tcPr>
          <w:p>
            <w:pPr>
              <w:spacing w:before="20" w:after="20"/>
              <w:jc w:val="center"/>
            </w:pPr>
            <w:r>
              <w:rPr>
                <w:rFonts w:ascii="Times New Roman" w:hAnsi="Times New Roman" w:eastAsia="宋体"/>
                <w:sz w:val="18"/>
              </w:rPr>
              <w:t>UART 460800-8N1，协议 v1.24，28 条命令</w:t>
            </w:r>
          </w:p>
        </w:tc>
        <w:tc>
          <w:tcPr>
            <w:tcW w:type="dxa" w:w="2041"/>
          </w:tcPr>
          <w:p>
            <w:pPr>
              <w:spacing w:before="20" w:after="20"/>
              <w:jc w:val="center"/>
            </w:pPr>
            <w:r>
              <w:rPr>
                <w:rFonts w:ascii="Times New Roman" w:hAnsi="Times New Roman" w:eastAsia="宋体"/>
                <w:sz w:val="18"/>
              </w:rPr>
              <w:t>交付形态</w:t>
            </w:r>
          </w:p>
        </w:tc>
        <w:tc>
          <w:tcPr>
            <w:tcW w:type="dxa" w:w="2041"/>
          </w:tcPr>
          <w:p>
            <w:pPr>
              <w:spacing w:before="20" w:after="20"/>
              <w:jc w:val="center"/>
            </w:pPr>
            <w:r>
              <w:rPr>
                <w:rFonts w:ascii="Times New Roman" w:hAnsi="Times New Roman" w:eastAsia="宋体"/>
                <w:sz w:val="18"/>
              </w:rPr>
              <w:t>Flash 固化，上电自启</w:t>
            </w:r>
          </w:p>
        </w:tc>
      </w:tr>
    </w:tbl>
    <w:p w14:paraId="0B350526">
      <w:pPr>
        <w:pStyle w:val="12"/>
        <w:spacing w:line="360" w:lineRule="auto"/>
        <w:ind w:left="420" w:firstLine="0" w:firstLineChars="0"/>
        <w:rPr>
          <w:rFonts w:ascii="Times New Roman" w:hAnsi="Times New Roman" w:eastAsia="宋体" w:cs="Times New Roman"/>
          <w:sz w:val="24"/>
        </w:rPr>
      </w:pPr>
    </w:p>
    <w:p w14:paraId="0C133C0E">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主要创新点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（1）关键算法均有双实现并各自给出边界：频谱对浮点金标准（RMSE 1.24×10⁻³），识别用规则法对神经网络，测频用闸门法对测周法。</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（2）泄漏与插值成套校正：明确加窗本身不提高读数精度，其作用是为插值提供干净输入，两者必须成对使用。</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（3）免仪器的闭环自测：板内 DDS→DAC→ADC 回环，可在不接外部仪器时完成全链路自检。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（4）低代价功能扩展：九类功能在同一引擎上扩展，未新增乘法器与块 RAM。</w:t>
      </w:r>
    </w:p>
    <w:p w14:paraId="12E32CFD">
      <w:pPr>
        <w:spacing w:line="360" w:lineRule="auto"/>
        <w:rPr>
          <w:rFonts w:ascii="Times New Roman" w:hAnsi="Times New Roman" w:eastAsia="宋体" w:cs="Times New Roman"/>
          <w:sz w:val="24"/>
        </w:rPr>
      </w:pPr>
    </w:p>
    <w:p w14:paraId="3041AA9F">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设计流程</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需求分析→方案选型→分模块 RTL 实现→仿真验证→上板联调→指标标定→文档与打包。</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实施顺序：先打通 DDS 与 ADC 采集，实现波形显示；再加入测量与触发；随后并行实现 IP FFT 与自研 FFT 两条通路；最后叠加窗函数、帧重叠、谱平均、IFFT 与波形识别，每加一项即上板复核资源与时序。</w:t>
      </w:r>
    </w:p>
    <w:p w14:paraId="1AB43576">
      <w:pPr>
        <w:spacing w:line="360" w:lineRule="auto"/>
        <w:rPr>
          <w:rFonts w:ascii="Times New Roman" w:hAnsi="Times New Roman" w:eastAsia="宋体" w:cs="Times New Roman"/>
          <w:sz w:val="24"/>
        </w:rPr>
      </w:pPr>
    </w:p>
    <w:p w14:paraId="0E73A12C">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第二部分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系统组成及功能说明</w:t>
      </w:r>
    </w:p>
    <w:p w14:paraId="26E5C624">
      <w:pPr>
        <w:pStyle w:val="12"/>
        <w:numPr>
          <w:ilvl w:val="0"/>
          <w:numId w:val="1"/>
        </w:numPr>
        <w:spacing w:line="360" w:lineRule="auto"/>
        <w:ind w:firstLineChars="0"/>
        <w:rPr>
          <w:rFonts w:ascii="Times New Roman" w:hAnsi="Times New Roman" w:eastAsia="宋体" w:cs="Times New Roman"/>
          <w:vanish/>
          <w:sz w:val="24"/>
        </w:rPr>
      </w:pPr>
    </w:p>
    <w:p w14:paraId="54993930">
      <w:pPr>
        <w:pStyle w:val="12"/>
        <w:spacing w:line="360" w:lineRule="auto"/>
        <w:ind w:left="420" w:firstLine="0" w:firstLineChars="0"/>
        <w:rPr>
          <w:rFonts w:ascii="Times New Roman" w:hAnsi="Times New Roman" w:eastAsia="宋体" w:cs="Times New Roman"/>
          <w:sz w:val="24"/>
        </w:rPr>
      </w:pPr>
    </w:p>
    <w:p w14:paraId="01927C7F">
      <w:pPr>
        <w:spacing w:line="360" w:lineRule="auto"/>
        <w:rPr>
          <w:rFonts w:ascii="Times New Roman" w:hAnsi="Times New Roman" w:eastAsia="宋体" w:cs="Times New Roman"/>
          <w:sz w:val="24"/>
        </w:rPr>
      </w:pP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2.1 整体介绍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系统由 FPGA 板卡与上位机两部分组成。FPGA 内部按功能划分为八个功能块：命令解码、信号发生、ADC 采集、参数测量、触发与波形缓存、FFT（IP 与自研两路）、频谱帧与识别、串口收发，共对应 37 个子模块。上位机负责发送命令、显示波形与频谱，不参与任何测量运算。</w:t>
      </w:r>
    </w:p>
    <w:p>
      <w:pPr>
        <w:jc w:val="center"/>
      </w:pPr>
      <w:r>
        <w:drawing>
          <wp:inline xmlns:a="http://schemas.openxmlformats.org/drawingml/2006/main" xmlns:pic="http://schemas.openxmlformats.org/drawingml/2006/picture">
            <wp:extent cx="4680000" cy="2558400"/>
            <wp:docPr id="1" name="Picture 1"/>
            <wp:cNvGraphicFramePr>
              <a:graphicFrameLocks noChangeAspect="1"/>
            </wp:cNvGraphicFramePr>
            <a:graphic>
              <a:graphicData uri="http://schemas.openxmlformats.org/drawingml/2006/picture">
                <pic:pic>
                  <pic:nvPicPr>
                    <pic:cNvPr id="0" name="fig_system_block.png"/>
                    <pic:cNvPicPr/>
                  </pic:nvPicPr>
                  <pic:blipFill>
                    <a:blip r:embed="rId12"/>
                    <a:stretch>
                      <a:fillRect/>
                    </a:stretch>
                  </pic:blipFill>
                  <pic:spPr>
                    <a:xfrm>
                      <a:off x="0" y="0"/>
                      <a:ext cx="4680000" cy="25584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2-1  系统整体框图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数据流如下：串口收到的命令帧经解码写入参数寄存器；信号发生模块据参数产生波形，或由 ADC 采集外部输入；采样数据进入 1024 点缓存后分三路使用——测量模块计算频率、峰峰值、占空比与脉宽；波形帧模块整理触发点后的 1024 点上传；FFT 通路做频谱分析。两路 FFT 并行工作，IP 通路输出 4096 点低分辨率谱，自研通路输出 1024 点并经加窗、插值、峰值搜索后给出三峰频率。</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回环通路用于自检：DAC 输出经跳线接回 AD 输入，命令、测量、频谱、识别各环节可在不接外部仪器时闭环验证。模块之间的耦合仅通过参数寄存器与数据有效信号，任一路径关闭不影响其余部分。</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2.2 硬件系统介绍</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2.2.1 硬件整体介绍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主控为达芬奇 Pro 开发板（XC7A35T-2FGG484）。系统时钟 50MHz，ADC 采样时钟 25MHz，DAC 锁存时钟 50MHz。板载 CH340 提供一路 USB 转串口，与上位机通信。ADC 与 DAC 通过排针引出，回环自测时用跳线短接。</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2.2.2 机械设计介绍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板卡为成品开发板，本项目的机械工作为接口定义与连线整理：ADC/DAC 排针按信号方向标注，回环跳线固定于板边，避免与按键、电源开关干涉。实物见 3.2.1。</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2.2.3 电路各模块介绍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（1）AD9280 采集接口：8 位并行数据，25MHz 采样时钟由 FPGA 输出，在时钟下降沿采样。模块输入端为 −5V~+5V 量程，板内先经 5:1 分压再加 1V 偏置送入 ADC。</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（2）AD9708 输出接口：8 位数据，50MHz 锁存时钟，输出为 ±5V 双极性，幅度由板载电位器调节。</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（3）串口：CH340 转 USB，460800-8N1，仅使用 TX/RX 两线，无硬件流控。</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（4）按键与指示灯：KEY0 切换预设频率档位，LED0~3 指示当前档位。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各模块与 FPGA 的连接关系如下。箭头方向表示信号流向，标注为关键信号线名。需要说明的是，本作品使用成品 FPGA 开发板，未自行绘制 PCB 与原理图，因此本图给出的是接口级连接关系，而非 SCH 原理图。</w:t>
      </w:r>
    </w:p>
    <w:p>
      <w:pPr>
        <w:jc w:val="center"/>
      </w:pPr>
      <w:r>
        <w:drawing>
          <wp:inline xmlns:a="http://schemas.openxmlformats.org/drawingml/2006/main" xmlns:pic="http://schemas.openxmlformats.org/drawingml/2006/picture">
            <wp:extent cx="4860000" cy="2243077"/>
            <wp:docPr id="2" name="Picture 2"/>
            <wp:cNvGraphicFramePr>
              <a:graphicFrameLocks noChangeAspect="1"/>
            </wp:cNvGraphicFramePr>
            <a:graphic>
              <a:graphicData uri="http://schemas.openxmlformats.org/drawingml/2006/picture">
                <pic:pic>
                  <pic:nvPicPr>
                    <pic:cNvPr id="0" name="fig_hw_iface.png"/>
                    <pic:cNvPicPr/>
                  </pic:nvPicPr>
                  <pic:blipFill>
                    <a:blip r:embed="rId13"/>
                    <a:stretch>
                      <a:fillRect/>
                    </a:stretch>
                  </pic:blipFill>
                  <pic:spPr>
                    <a:xfrm>
                      <a:off x="0" y="0"/>
                      <a:ext cx="4860000" cy="2243077"/>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2-2  硬件接口连接示意（成品开发板，未自行绘制 PCB）</w:t>
      </w:r>
    </w:p>
    <w:p>
      <w:pPr>
        <w:jc w:val="center"/>
      </w:pPr>
      <w:r>
        <w:drawing>
          <wp:inline xmlns:a="http://schemas.openxmlformats.org/drawingml/2006/main" xmlns:pic="http://schemas.openxmlformats.org/drawingml/2006/picture">
            <wp:extent cx="4860000" cy="6480000"/>
            <wp:docPr id="3" name="Picture 3"/>
            <wp:cNvGraphicFramePr>
              <a:graphicFrameLocks noChangeAspect="1"/>
            </wp:cNvGraphicFramePr>
            <a:graphic>
              <a:graphicData uri="http://schemas.openxmlformats.org/drawingml/2006/picture">
                <pic:pic>
                  <pic:nvPicPr>
                    <pic:cNvPr id="0" name="fig_p3_board.jpg"/>
                    <pic:cNvPicPr/>
                  </pic:nvPicPr>
                  <pic:blipFill>
                    <a:blip r:embed="rId14"/>
                    <a:stretch>
                      <a:fillRect/>
                    </a:stretch>
                  </pic:blipFill>
                  <pic:spPr>
                    <a:xfrm>
                      <a:off x="0" y="0"/>
                      <a:ext cx="4860000" cy="64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2-3  电路板与接口布置</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完整测试连接如下：主板、ATK_HS_AD_DA 模拟模块与回环飞线同时入镜，这是实际演示时的接线状态；拔掉回环飞线即可改接外部信号源。</w:t>
      </w:r>
    </w:p>
    <w:p>
      <w:pPr>
        <w:jc w:val="center"/>
      </w:pPr>
      <w:r>
        <w:drawing>
          <wp:inline xmlns:a="http://schemas.openxmlformats.org/drawingml/2006/main" xmlns:pic="http://schemas.openxmlformats.org/drawingml/2006/picture">
            <wp:extent cx="4500000" cy="4050000"/>
            <wp:docPr id="4" name="Picture 4"/>
            <wp:cNvGraphicFramePr>
              <a:graphicFrameLocks noChangeAspect="1"/>
            </wp:cNvGraphicFramePr>
            <a:graphic>
              <a:graphicData uri="http://schemas.openxmlformats.org/drawingml/2006/picture">
                <pic:pic>
                  <pic:nvPicPr>
                    <pic:cNvPr id="0" name="fig_p7_full_setup_final.jpg"/>
                    <pic:cNvPicPr/>
                  </pic:nvPicPr>
                  <pic:blipFill>
                    <a:blip r:embed="rId15"/>
                    <a:stretch>
                      <a:fillRect/>
                    </a:stretch>
                  </pic:blipFill>
                  <pic:spPr>
                    <a:xfrm>
                      <a:off x="0" y="0"/>
                      <a:ext cx="4500000" cy="405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2-4  完整测试连接（主板 + AD/DA 模块 + 回环飞线，箭头标出关键接口）</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2.3 软件系统介绍</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2.3.1 软件整体介绍</w:t>
      </w:r>
    </w:p>
    <w:p>
      <w:pPr>
        <w:jc w:val="center"/>
      </w:pPr>
      <w:r>
        <w:drawing>
          <wp:inline xmlns:a="http://schemas.openxmlformats.org/drawingml/2006/main" xmlns:pic="http://schemas.openxmlformats.org/drawingml/2006/picture">
            <wp:extent cx="5040000" cy="2326154"/>
            <wp:docPr id="5" name="Picture 5"/>
            <wp:cNvGraphicFramePr>
              <a:graphicFrameLocks noChangeAspect="1"/>
            </wp:cNvGraphicFramePr>
            <a:graphic>
              <a:graphicData uri="http://schemas.openxmlformats.org/drawingml/2006/picture">
                <pic:pic>
                  <pic:nvPicPr>
                    <pic:cNvPr id="0" name="fig_sw_arch.png"/>
                    <pic:cNvPicPr/>
                  </pic:nvPicPr>
                  <pic:blipFill>
                    <a:blip r:embed="rId16"/>
                    <a:stretch>
                      <a:fillRect/>
                    </a:stretch>
                  </pic:blipFill>
                  <pic:spPr>
                    <a:xfrm>
                      <a:off x="0" y="0"/>
                      <a:ext cx="5040000" cy="2326154"/>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2-5  软件分层架构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FPGA 侧为纯 RTL 实现，共 38 个 Verilog 源文件（顶层 board_top 加 37 个子模块），顶层只负责互连与时钟分配，不含运算逻辑。上位机为 Python 3 + Tkinter，单一进程两个线程：串口线程负责收发、解析与重连，界面线程负责绘图与命令下发。协议文档 uart_protocol.md 为两端共享的唯一依据。</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2.3.2 软件各模块介绍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本节按数据流顺序给出各模块的流程与关键输入输出变量。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（0）命令解码：串口收到字节后先查帧头 5A A5，再累计长度、比对校验和，校验通过才分发。参数类命令写入寄存器，脉冲类命令只置一拍标志，静默类命令（0x8A/0x8B/0x8D/0x8E）不返回 ACK，上位机只能靠可观察量判断。校验失败的帧整帧丢弃，不产生任何副作用。</w:t>
      </w:r>
    </w:p>
    <w:p>
      <w:pPr>
        <w:jc w:val="center"/>
      </w:pPr>
      <w:r>
        <w:drawing>
          <wp:inline xmlns:a="http://schemas.openxmlformats.org/drawingml/2006/main" xmlns:pic="http://schemas.openxmlformats.org/drawingml/2006/picture">
            <wp:extent cx="5220000" cy="2569846"/>
            <wp:docPr id="6" name="Picture 6"/>
            <wp:cNvGraphicFramePr>
              <a:graphicFrameLocks noChangeAspect="1"/>
            </wp:cNvGraphicFramePr>
            <a:graphic>
              <a:graphicData uri="http://schemas.openxmlformats.org/drawingml/2006/picture">
                <pic:pic>
                  <pic:nvPicPr>
                    <pic:cNvPr id="0" name="fig_flow_cmd.png"/>
                    <pic:cNvPicPr/>
                  </pic:nvPicPr>
                  <pic:blipFill>
                    <a:blip r:embed="rId17"/>
                    <a:stretch>
                      <a:fillRect/>
                    </a:stretch>
                  </pic:blipFill>
                  <pic:spPr>
                    <a:xfrm>
                      <a:off x="0" y="0"/>
                      <a:ext cx="5220000" cy="2569846"/>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2-6  命令解码流程与关键变量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（1）信号发生：32 位相位累加器，相位高 8 位查 256 点正弦表，输出经并串转换送 DAC。方波与三角由相位高位直接产生，双音为两路 NCO 相加后取半。频率字 FCW = f × 2³² / 50MHz，分辨率 0.0116Hz。</w:t>
      </w:r>
    </w:p>
    <w:p>
      <w:pPr>
        <w:jc w:val="center"/>
      </w:pPr>
      <w:r>
        <w:drawing>
          <wp:inline xmlns:a="http://schemas.openxmlformats.org/drawingml/2006/main" xmlns:pic="http://schemas.openxmlformats.org/drawingml/2006/picture">
            <wp:extent cx="5220000" cy="2409231"/>
            <wp:docPr id="7" name="Picture 7"/>
            <wp:cNvGraphicFramePr>
              <a:graphicFrameLocks noChangeAspect="1"/>
            </wp:cNvGraphicFramePr>
            <a:graphic>
              <a:graphicData uri="http://schemas.openxmlformats.org/drawingml/2006/picture">
                <pic:pic>
                  <pic:nvPicPr>
                    <pic:cNvPr id="0" name="fig_flow_dds.png"/>
                    <pic:cNvPicPr/>
                  </pic:nvPicPr>
                  <pic:blipFill>
                    <a:blip r:embed="rId18"/>
                    <a:stretch>
                      <a:fillRect/>
                    </a:stretch>
                  </pic:blipFill>
                  <pic:spPr>
                    <a:xfrm>
                      <a:off x="0" y="0"/>
                      <a:ext cx="5220000" cy="2409231"/>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2-7  信号发生流程与关键变量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（2）ADC 采集与抽取：25MHz 采样后按 decim 计数抽取到 50kHz（T1）或 12.5kHz（T2），写入 1024 点缓存。抽取比由时基命令决定，波形识别使用的抽取比另按实测频率自适应。</w:t>
      </w:r>
    </w:p>
    <w:p>
      <w:pPr>
        <w:jc w:val="center"/>
      </w:pPr>
      <w:r>
        <w:drawing>
          <wp:inline xmlns:a="http://schemas.openxmlformats.org/drawingml/2006/main" xmlns:pic="http://schemas.openxmlformats.org/drawingml/2006/picture">
            <wp:extent cx="5220000" cy="2489538"/>
            <wp:docPr id="8" name="Picture 8"/>
            <wp:cNvGraphicFramePr>
              <a:graphicFrameLocks noChangeAspect="1"/>
            </wp:cNvGraphicFramePr>
            <a:graphic>
              <a:graphicData uri="http://schemas.openxmlformats.org/drawingml/2006/picture">
                <pic:pic>
                  <pic:nvPicPr>
                    <pic:cNvPr id="0" name="fig_flow_adc.png"/>
                    <pic:cNvPicPr/>
                  </pic:nvPicPr>
                  <pic:blipFill>
                    <a:blip r:embed="rId19"/>
                    <a:stretch>
                      <a:fillRect/>
                    </a:stretch>
                  </pic:blipFill>
                  <pic:spPr>
                    <a:xfrm>
                      <a:off x="0" y="0"/>
                      <a:ext cx="5220000" cy="2489538"/>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2-8  采集与抽取流程及关键变量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（3）参数测量：频率采用等精度测频，10kHz 以下切换测周法；峰峰值取窗口内极大极小之差，按标定系数换算为毫伏；占空比与脉宽由阈值比较后的电平统计得到。测量结果经三级数字滤波与窗口平滑后上报，置信度不足时输出“其他”而不给错值。</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（4）触发与预触发：触发点由边沿检测确定，写入缓存的起始位置可前移 0/256/512/768 点，对应 0/25/50/75% 四档预触发，从而看到触发边沿之前的波形。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（5）IP FFT 通路：调用 xfft IP，4096 点、16 位、流水线结构，输出峰值频率与幅值。实测该核在抽取比低于 100（即采样率高于 500kHz）时无法完成一帧，故仅用于 0~25kHz 低频段。</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（6）自研 FFT 核：1024 点 Radix-2 DIF，16 位定点。输入加窗后用 10 级蝶形流水计算，旋转因子存于共享 ROM；输出做 L1 范数 |re|+|im| 取模，三趟扫描完成三峰搜索，再对每个峰做抛物线插值。资源 502 LUT / 346 FF / 7 DSP。</w:t>
      </w:r>
    </w:p>
    <w:p>
      <w:pPr>
        <w:jc w:val="center"/>
      </w:pPr>
      <w:r>
        <w:drawing>
          <wp:inline xmlns:a="http://schemas.openxmlformats.org/drawingml/2006/main" xmlns:pic="http://schemas.openxmlformats.org/drawingml/2006/picture">
            <wp:extent cx="5220000" cy="2730462"/>
            <wp:docPr id="9" name="Picture 9"/>
            <wp:cNvGraphicFramePr>
              <a:graphicFrameLocks noChangeAspect="1"/>
            </wp:cNvGraphicFramePr>
            <a:graphic>
              <a:graphicData uri="http://schemas.openxmlformats.org/drawingml/2006/picture">
                <pic:pic>
                  <pic:nvPicPr>
                    <pic:cNvPr id="0" name="fig_flow_fft.png"/>
                    <pic:cNvPicPr/>
                  </pic:nvPicPr>
                  <pic:blipFill>
                    <a:blip r:embed="rId20"/>
                    <a:stretch>
                      <a:fillRect/>
                    </a:stretch>
                  </pic:blipFill>
                  <pic:spPr>
                    <a:xfrm>
                      <a:off x="0" y="0"/>
                      <a:ext cx="5220000" cy="2730462"/>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2-9  自研 FFT 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（7）加窗与插值：窗表 1024 点、16 位，乘法后右移 7 位。Hann 窗把第一旁瓣由 −13dB 压到 −31dB，泄漏由 14.7% 降到 0.9%；插值按 Δk=(M_L−M_R)/(2(2M_C−M_L−M_R)) 修正，把 1kHz 由 976Hz 修正为 999Hz。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（8）频谱帧与瀑布图：幅度取模后按 4 位指数 + 4 位尾数压缩成 8 位，512 点一帧，帧头 5A A5 02，上位机逐帧绘柱状图并堆叠成瀑布图。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（9）波形识别：规则法用占空比、高低电平占比与斜率判别；神经网络为 6-16-4 全连接，输入占空比、归一化均值、峭度、波峰因数、归一化斜率与过零率，权重 int16、特征 Q15。两路始终并行，命令只切换上报来源。</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（10）IFFT 与回放：复用同一套蝶形，读地址做 10 位位反转、旋转因子取共轭，在频域对指定 bin 段置零后再反变换，结果按 3 倍增益送 DAC 回放。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回放功能实际使用时有两个现象需要说明，两者都不是故障，而是该方案的固有性质。</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其一，回放波形呈纺锤形，两端衰减、中间最大。原因是 IFFT(加窗信号的频谱) = 原信号 × 窗函数 —— 加窗之后再做反变换，窗函数本身变成了重建信号的包络。这是数学必然，与实现无关。本设计尝试过按 1/max(hann,0.25) 作逆窗补偿把它拉平，实测反而更差：帧内含约 14% 的量化杂散，真实包络并不严格等于窗函数，理想逆表在包络本已偏大的区段过度校正，反而造成局部塌陷（补偿前各段峰峰值为 17/15/22/31/28/36/30/20/20/14，补偿后变为 50/52/52/50/48/16/16/48/52/52，第 5、6 段明显塌陷）。因此保留原始包络，只做固定 3 倍增益。</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其二，面板上的电压读数会在约 1000mV 与约 5000mV 之间跳动。这一条与峰峰值测量的时间窗有关：回放时 1024 个点逐点送出，每点占用 1000 个系统时钟（与采集抽取倍数一致），因此一个完整回放周期为 1024×1000/50MHz = 20.48ms；而频率计侧的峰峰值统计窗口为 GATE1_CLKS = 500000 个时钟，即 10.00ms。两者比值为 0.488，</w:t>
      </w:r>
      <w:r>
        <w:rPr>
          <w:rFonts w:ascii="Times New Roman" w:hAnsi="Times New Roman" w:eastAsia="宋体"/>
          <w:sz w:val="24"/>
          <w:b/>
        </w:rPr>
        <w:t xml:space="preserve">不是整数</w:t>
      </w:r>
      <w:r>
        <w:rPr>
          <w:rFonts w:ascii="Times New Roman" w:hAnsi="Times New Roman" w:eastAsia="宋体"/>
          <w:sz w:val="24"/>
        </w:rPr>
        <w:t xml:space="preserve"> —— 也就是说测量窗口只覆盖了纺锤包的 48.8%，且窗口起点相对包络的相位会逐次缓慢漂移。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由此得到两种情形：窗口起点落在包络上升段（约占 48.8% 的相位区间）时，窗内含峰值点，读数接近满幅，约 5000mV；起点落在下降段（约占 51.2%）时，窗口只覆盖峰后半段与下一周期的开头，读数显著偏低，约 1000mV。前者区间略小于后者，因此现象表现为「多数时候在一千上下、偶尔跳到五千」。按 36.33mV/LSB 折算，1000mV 与 5000mV 分别对应约 27 与 138 个码值，与上述解释的量级一致。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一现象也解释了为什么本作品在回放环节不引用电压读数作为判据，而只看示波器波形：在该工作模式下，峰峰值窗口与回放周期不构成整数关系，读数本身不具备重复性。若需稳定读数，应把测量窗口改为回放周期的整数倍，本次未作此修改，如实记录该限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（11）锁相放大：把 ADC 采样与同频正交参考相乘，再按整数个周期累加。
参考 NCO 跑 25MHz（ADC 实际速率）并取 2 倍频率字，因此与 50MHz 域的 DDS 严格同频；
正交参考直接复用 FFT 的旋转因子表（1024 点 × 16 位），比 8 位正弦表精度高一个量级。
累加必须凑满整数个周期，否则会残留 2 倍频分量，读数随之漂移。结果以 I/Q 两路回传，
幅度与相位由主机计算。</w:t>
      </w:r>
    </w:p>
    <w:p>
      <w:pPr>
        <w:jc w:val="center"/>
      </w:pPr>
      <w:r>
        <w:drawing>
          <wp:inline xmlns:a="http://schemas.openxmlformats.org/drawingml/2006/main" xmlns:pic="http://schemas.openxmlformats.org/drawingml/2006/picture">
            <wp:extent cx="5220000" cy="2650154"/>
            <wp:docPr id="10" name="Picture 10"/>
            <wp:cNvGraphicFramePr>
              <a:graphicFrameLocks noChangeAspect="1"/>
            </wp:cNvGraphicFramePr>
            <a:graphic>
              <a:graphicData uri="http://schemas.openxmlformats.org/drawingml/2006/picture">
                <pic:pic>
                  <pic:nvPicPr>
                    <pic:cNvPr id="0" name="fig_flow_lockin.png"/>
                    <pic:cNvPicPr/>
                  </pic:nvPicPr>
                  <pic:blipFill>
                    <a:blip r:embed="rId21"/>
                    <a:stretch>
                      <a:fillRect/>
                    </a:stretch>
                  </pic:blipFill>
                  <pic:spPr>
                    <a:xfrm>
                      <a:off x="0" y="0"/>
                      <a:ext cx="5220000" cy="2650154"/>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2-10  锁相放大流程与关键变量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（12）串口协议：命令帧 5A A5 + 命令字 + 长度 + 负载 + 校验和，共 28 条命令（含 0x9E/0x9F 调试探针）；上报分 ASCII 测量行（F=/V=/D=/W=/TY=/SF=/S2=/S3=/WIN=）与二进制帧（波形 0x01、谱帧 0x02）。</w:t>
      </w:r>
    </w:p>
    <w:p w14:paraId="25729970">
      <w:pPr>
        <w:spacing w:line="360" w:lineRule="auto"/>
        <w:rPr>
          <w:rFonts w:ascii="Times New Roman" w:hAnsi="Times New Roman" w:eastAsia="宋体" w:cs="Times New Roman"/>
          <w:sz w:val="24"/>
        </w:rPr>
      </w:pPr>
    </w:p>
    <w:p w14:paraId="387534FB">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第三部分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完成情况及性能参数</w:t>
      </w:r>
    </w:p>
    <w:p w14:paraId="2BFB2258">
      <w:pPr>
        <w:spacing w:line="360" w:lineRule="auto"/>
        <w:rPr>
          <w:rFonts w:ascii="Times New Roman" w:hAnsi="Times New Roman" w:eastAsia="宋体" w:cs="Times New Roman"/>
          <w:sz w:val="24"/>
        </w:rPr>
      </w:pPr>
    </w:p>
    <w:p w14:paraId="41351334">
      <w:pPr>
        <w:spacing w:line="360" w:lineRule="auto"/>
        <w:rPr>
          <w:rFonts w:ascii="Times New Roman" w:hAnsi="Times New Roman" w:eastAsia="宋体" w:cs="Times New Roman"/>
          <w:b/>
          <w:sz w:val="24"/>
        </w:rPr>
      </w:pP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3.1 整体介绍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系统已在实物板卡上完整跑通。上电后从 Flash 加载配置，约 1 秒内开始输出测量行，无需连接上位机即可独立工作；上位机接入后自动识别端口并刷新波形与频谱。</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系统实物正面与斜 45° 全局照片如下。</w:t>
      </w:r>
    </w:p>
    <w:p>
      <w:pPr>
        <w:jc w:val="center"/>
      </w:pPr>
      <w:r>
        <w:drawing>
          <wp:inline xmlns:a="http://schemas.openxmlformats.org/drawingml/2006/main" xmlns:pic="http://schemas.openxmlformats.org/drawingml/2006/picture">
            <wp:extent cx="4320000" cy="3240000"/>
            <wp:docPr id="11" name="Picture 11"/>
            <wp:cNvGraphicFramePr>
              <a:graphicFrameLocks noChangeAspect="1"/>
            </wp:cNvGraphicFramePr>
            <a:graphic>
              <a:graphicData uri="http://schemas.openxmlformats.org/drawingml/2006/picture">
                <pic:pic>
                  <pic:nvPicPr>
                    <pic:cNvPr id="0" name="fig_p1_front.jpg"/>
                    <pic:cNvPicPr/>
                  </pic:nvPicPr>
                  <pic:blipFill>
                    <a:blip r:embed="rId22"/>
                    <a:stretch>
                      <a:fillRect/>
                    </a:stretch>
                  </pic:blipFill>
                  <pic:spPr>
                    <a:xfrm>
                      <a:off x="0" y="0"/>
                      <a:ext cx="4320000" cy="324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3-1  系统实物（正面）</w:t>
      </w:r>
    </w:p>
    <w:p>
      <w:pPr>
        <w:jc w:val="center"/>
      </w:pPr>
      <w:r>
        <w:drawing>
          <wp:inline xmlns:a="http://schemas.openxmlformats.org/drawingml/2006/main" xmlns:pic="http://schemas.openxmlformats.org/drawingml/2006/picture">
            <wp:extent cx="3600000" cy="4800000"/>
            <wp:docPr id="12" name="Picture 12"/>
            <wp:cNvGraphicFramePr>
              <a:graphicFrameLocks noChangeAspect="1"/>
            </wp:cNvGraphicFramePr>
            <a:graphic>
              <a:graphicData uri="http://schemas.openxmlformats.org/drawingml/2006/picture">
                <pic:pic>
                  <pic:nvPicPr>
                    <pic:cNvPr id="0" name="fig_p2_oblique.jpg"/>
                    <pic:cNvPicPr/>
                  </pic:nvPicPr>
                  <pic:blipFill>
                    <a:blip r:embed="rId23"/>
                    <a:stretch>
                      <a:fillRect/>
                    </a:stretch>
                  </pic:blipFill>
                  <pic:spPr>
                    <a:xfrm>
                      <a:off x="0" y="0"/>
                      <a:ext cx="3600000" cy="480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3-2  系统实物（斜 45°）</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3.2 工程成果</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3.2.1 机械成果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机械工作为接口定义与连线整理：ADC/DAC 排针按信号方向标注，回环跳线固定于板边，避免与按键、电源开关干涉。板卡正面见 3.1 图 3-1，接口布置见 2.2.3 图 2-3。</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3.2.2 电路成果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ADC/DAC 接口与回环连线实拍。</w:t>
      </w:r>
    </w:p>
    <w:p>
      <w:pPr>
        <w:jc w:val="center"/>
      </w:pPr>
      <w:r>
        <w:drawing>
          <wp:inline xmlns:a="http://schemas.openxmlformats.org/drawingml/2006/main" xmlns:pic="http://schemas.openxmlformats.org/drawingml/2006/picture">
            <wp:extent cx="3420000" cy="4560814"/>
            <wp:docPr id="13" name="Picture 13"/>
            <wp:cNvGraphicFramePr>
              <a:graphicFrameLocks noChangeAspect="1"/>
            </wp:cNvGraphicFramePr>
            <a:graphic>
              <a:graphicData uri="http://schemas.openxmlformats.org/drawingml/2006/picture">
                <pic:pic>
                  <pic:nvPicPr>
                    <pic:cNvPr id="0" name="fig_p4_wire.jpg"/>
                    <pic:cNvPicPr/>
                  </pic:nvPicPr>
                  <pic:blipFill>
                    <a:blip r:embed="rId24"/>
                    <a:stretch>
                      <a:fillRect/>
                    </a:stretch>
                  </pic:blipFill>
                  <pic:spPr>
                    <a:xfrm>
                      <a:off x="0" y="0"/>
                      <a:ext cx="3420000" cy="4560814"/>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3-3  回环连线</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3.2.3 软件成果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上位机主界面：左侧时域波形，中部测量读数，右侧频谱与瀑布图，下方为命令面板。</w:t>
      </w:r>
    </w:p>
    <w:p>
      <w:pPr>
        <w:jc w:val="center"/>
      </w:pPr>
      <w:r>
        <w:drawing>
          <wp:inline xmlns:a="http://schemas.openxmlformats.org/drawingml/2006/main" xmlns:pic="http://schemas.openxmlformats.org/drawingml/2006/picture">
            <wp:extent cx="4680000" cy="2772900"/>
            <wp:docPr id="14" name="Picture 14"/>
            <wp:cNvGraphicFramePr>
              <a:graphicFrameLocks noChangeAspect="1"/>
            </wp:cNvGraphicFramePr>
            <a:graphic>
              <a:graphicData uri="http://schemas.openxmlformats.org/drawingml/2006/picture">
                <pic:pic>
                  <pic:nvPicPr>
                    <pic:cNvPr id="0" name="fig_p5_gui.png"/>
                    <pic:cNvPicPr/>
                  </pic:nvPicPr>
                  <pic:blipFill>
                    <a:blip r:embed="rId25"/>
                    <a:stretch>
                      <a:fillRect/>
                    </a:stretch>
                  </pic:blipFill>
                  <pic:spPr>
                    <a:xfrm>
                      <a:off x="0" y="0"/>
                      <a:ext cx="4680000" cy="27729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3-4  上位机主界面</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3.3 特性成果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（1）频率测量。与信号发生器对比，100Hz~1MHz 全量程误差小于 1%；1kHz 时读数 999Hz。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（2）电压测量。外接发生器 1~4V 输入，最大偏差 2.8%、平均 0.8%；内部标定值 KN=37203，对应 36.33mV/LSB。</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（3）频谱精度。加 Hann 窗与抛物线插值后，泄漏由 14.7% 降至 0.9%，1kHz 方波三峰实测 999 / 2998 / 4997Hz（真值 1000 / 3000 / 5000），误差均小于 0.1%。</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（4）窗函数。矩形、Hann、Blackman 三档可在线切换，用远离主峰的谱线高度作底噪指标，实测 81.6 / 25.6 / 25.2（8 位对数码）。</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（5）50% 帧重叠。取一帧幅度谱的时间由 35ms 降至 24ms。</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（6）谱平均。8 帧平均后逐 bin 的帧间标准差由 14.5 降至 1.05，底噪中位数基本不变（平均不改变噪声均值，只降低起伏）。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（7）预触发。四档位置逐点准确，0/256/512/768 点无偏差。</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（8）波形识别。规则法与神经网络始终并行运行。两条实现的强项不同：正弦波神经网络可到400kHz 而规则法在 150kHz 后失效；方波相反，规则法到 400kHz 仍全对；三角波神经网络到200kHz、规则法到 100kHz。低频段两者均为 100%，高频段需按波形择优（选源策略见第 12 条）。</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（9）高频频谱。四档时基，T3/T4 分别以 6.25MHz 与 12.5MHz 采样。实测自研 FFT 单峰：1MHz 报 1000237Hz、2MHz 报 2000474Hz、5MHz 报 5000543Hz，误差均小于 0.03%。</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（10）锁相放大。在回环信号上叠加伪随机噪声并衰减信号，把信噪比压到 −18.8dB（信号功率仅为噪声的 1/76）：此时常规峰峰值读数 3487mV，而真值仅 290mV，偏离 12 倍，读数已完全不可用；同一时刻锁相给出 288mV，误差 0.8%。在 −0.6dB、−12.8dB 等中间点误差分别为 3.1% 与 1.2%，一致性良好。积分 32 个周期，1kHz 下约 32ms 完成一次。</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（10b）锁相放大的频率选择性（实测）。上述 −18.8dB 数据说明锁相能在噪声中提取信号，但没有回答另一个更基本的问题：它到底只认多窄的一段频率？为此做了独立测试 —— 参考频率固定 1000Hz，用外部音源在 500Hz~2kHz 之间逐点改变信号频率，每个频点读一次锁相幅度。音源经一只 MAX9814 麦克风模块接入 AD 输入端（图 3-5），信号路径为：手机扬声器 → 空气 → 麦克风模块 → AD 输入 → FPGA。结果见图 3-6。</w:t>
      </w:r>
    </w:p>
    <w:p>
      <w:pPr>
        <w:jc w:val="center"/>
      </w:pPr>
      <w:r>
        <w:drawing>
          <wp:inline xmlns:a="http://schemas.openxmlformats.org/drawingml/2006/main" xmlns:pic="http://schemas.openxmlformats.org/drawingml/2006/picture">
            <wp:extent cx="3060000" cy="4080000"/>
            <wp:docPr id="15" name="Picture 15"/>
            <wp:cNvGraphicFramePr>
              <a:graphicFrameLocks noChangeAspect="1"/>
            </wp:cNvGraphicFramePr>
            <a:graphic>
              <a:graphicData uri="http://schemas.openxmlformats.org/drawingml/2006/picture">
                <pic:pic>
                  <pic:nvPicPr>
                    <pic:cNvPr id="0" name="fig_mic_module.jpg"/>
                    <pic:cNvPicPr/>
                  </pic:nvPicPr>
                  <pic:blipFill>
                    <a:blip r:embed="rId26"/>
                    <a:stretch>
                      <a:fillRect/>
                    </a:stretch>
                  </pic:blipFill>
                  <pic:spPr>
                    <a:xfrm>
                      <a:off x="0" y="0"/>
                      <a:ext cx="3060000" cy="40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3-5  外部声源经麦克风模块接入 AD 输入端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实测曲线在 1000Hz 处形成单一尖峰（2597mV），偏离即迅速跌落：1020Hz 已降为 1354mV（−5.7dB），940Hz 为 308mV（−18.5dB），900Hz 为 198mV（−22.3dB），1110Hz 降到 64mV（−32.2dB），600Hz 与 1500Hz 分别只有 13.5mV（−45.7dB）与 55.7mV（−33.4dB），已接近 12mV 的噪声本底。</w:t>
      </w:r>
    </w:p>
    <w:p>
      <w:pPr>
        <w:jc w:val="center"/>
      </w:pPr>
      <w:r>
        <w:drawing>
          <wp:inline xmlns:a="http://schemas.openxmlformats.org/drawingml/2006/main" xmlns:pic="http://schemas.openxmlformats.org/drawingml/2006/picture">
            <wp:extent cx="5400000" cy="4365872"/>
            <wp:docPr id="16" name="Picture 16"/>
            <wp:cNvGraphicFramePr>
              <a:graphicFrameLocks noChangeAspect="1"/>
            </wp:cNvGraphicFramePr>
            <a:graphic>
              <a:graphicData uri="http://schemas.openxmlformats.org/drawingml/2006/picture">
                <pic:pic>
                  <pic:nvPicPr>
                    <pic:cNvPr id="0" name="lockin_selectivity.png"/>
                    <pic:cNvPicPr/>
                  </pic:nvPicPr>
                  <pic:blipFill>
                    <a:blip r:embed="rId27"/>
                    <a:stretch>
                      <a:fillRect/>
                    </a:stretch>
                  </pic:blipFill>
                  <pic:spPr>
                    <a:xfrm>
                      <a:off x="0" y="0"/>
                      <a:ext cx="5400000" cy="4365872"/>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3-6  锁相放大器的实测频率选择性（参考 1000Hz，积分 32 周期）</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对上图做洛伦兹拟合得到半宽 γ≈23.3Hz，即 −3dB 全宽约 47Hz；由积分时间推算的理论等效噪声带宽为 B=1/(2T)=15.6Hz。实测带宽比理论宽约 1.7 倍，原因有三：音源的标称频率本身存在偏差、声学路径存在驻波、以及手机扬声器的频率响应并不平坦。因此这组数据的价值在于</w:t>
      </w:r>
      <w:r>
        <w:rPr>
          <w:rFonts w:ascii="Times New Roman" w:hAnsi="Times New Roman" w:eastAsia="宋体"/>
          <w:sz w:val="24"/>
          <w:b/>
        </w:rPr>
        <w:t xml:space="preserve">验证选择性存在且量级正确</w:t>
      </w:r>
      <w:r>
        <w:rPr>
          <w:rFonts w:ascii="Times New Roman" w:hAnsi="Times New Roman" w:eastAsia="宋体"/>
          <w:sz w:val="24"/>
        </w:rPr>
        <w:t xml:space="preserve">，而不能当作带宽的精密标定 —— 后者的前提是音源频率准确，本测试不具备该条件。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这组数据的演示意义大于其精度：它把"只认一个频率"这个抽象说法，变成了一条可以直接看的曲线。需要注意的是，本测试与前述 −18.8dB 测试使用的是两条不同路径 —— 前者走外部声学通道，后者走板内电学回环，两者的本底噪声水平不同，不宜直接比较绝对值。</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（11）锁相放大的可操作性。I/Q 帧回传后由上位机换算幅度与相位并直接显示；积分周期可在 1~4096 之间调整，界面可开关并可单次读取。合成帧校验：给定 66 码、N=800000、相位 45°，界面显示 4796mV 与 45°，与手算一致。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（12）识别的自动选源。两套分类器在片中并行运行，0x96 可选强制规则法、强制神经网络或自动。自动模式采用三层判据：两法结论一致则直接采信；一方报「不确定」则采信给出具体类型的一方；仅当两者给出不同的具体类型时才按频率仲裁。这样设计是因为频率计在改频后存在滞后，而前两层判据不依赖频率。实测三种波形六个频点（1kHz~200kHz）全部正确，18 组无错，优于任一单独方法。</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（13）三条量化对照轴。为回答「每套实现各自到哪为止」，另设三组对照。其一，波形识别：规则法在正弦 150kHz、三角 100kHz 后失效，神经网络在方波 200kHz 后失效，强项互补。其二，测频双方法：10kHz 以上用闸门法，误差即为 100Hz 除以频率（1MHz 时 0.01%）；10kHz 以下用测周法，分辨率 1Hz 但存在约 0.3% 的系统偏差，二者交接点取在误差相当处。其三，定点与浮点 FFT 对照：以 Python 复现 RTL 的定点口径（8 位输入、Q15 旋转因子、逐级右移、L1 模），与 float64 结果逐 bin 相比，归一化 RMSE 为 1.24×10⁻³（−58dB），峰值 bin 在正弦、方波与小幅信号下完全一致。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（14）帧率与资源。幅度谱帧率 21.2 帧/s；整片 LUT 7886（37.91%）、FF 7082（17.02%）、BRAM 12（24.00%）、DSP 40（44.44%），50MHz 下 WNS +0.613ns、WHS +0.057ns，零失败端点。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（15）已知边界。自研 FFT 只扫描 bin 1~511，可用范围为 48.8~24951Hz（T1）与 12.2~6238Hz（T2）；超出范围的分量会混叠折叠为 fs−f 并报出看似合理的错误值，主机端已就此做出标注。时基四档全部可用：T1/T2 用于低频与高分辨率；T3/T4 为高频频谱档，采样率 6.25MHz 与 12.5MHz，对应频谱范围 3.125MHz 与 6.25MHz。波形帧固定 50kHz 采样，不随时基变化；高频观察走频谱通路。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（16）IP 核通路的缺陷与修复。IP 4096 点 FFT 上报的主峰 S= 与次峰 A=，曾出现「切过 T3/T4 后永久停止更新」：根因是发送窗口判据里等待计数采用饱和计数，测量行一旦暂停超过 8ms，计数就顶死在上限，窗口再也打不开。改为到点绕回后，窗口每 40ms 必然重开一次，正常时序下行为不变。修复后连续五轮 T3/T4 往返实测，S= 始终保持更新，回归全部通过。</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第三峰越界后的实测行为如下：</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基频（方波）</w:t>
            </w:r>
          </w:p>
        </w:tc>
        <w:tc>
          <w:tcPr>
            <w:tcW w:type="dxa" w:w="2041"/>
            <w:tcBorders>
              <w:bottom w:val="single" w:sz="6"/>
            </w:tcBorders>
          </w:tcPr>
          <w:p>
            <w:pPr>
              <w:spacing w:before="20" w:after="20"/>
              <w:jc w:val="center"/>
            </w:pPr>
            <w:r>
              <w:rPr>
                <w:rFonts w:ascii="Times New Roman" w:hAnsi="Times New Roman" w:eastAsia="宋体"/>
                <w:b/>
                <w:sz w:val="18"/>
              </w:rPr>
              <w:t>5f 理论值</w:t>
            </w:r>
          </w:p>
        </w:tc>
        <w:tc>
          <w:tcPr>
            <w:tcW w:type="dxa" w:w="2041"/>
            <w:tcBorders>
              <w:bottom w:val="single" w:sz="6"/>
            </w:tcBorders>
          </w:tcPr>
          <w:p>
            <w:pPr>
              <w:spacing w:before="20" w:after="20"/>
              <w:jc w:val="center"/>
            </w:pPr>
            <w:r>
              <w:rPr>
                <w:rFonts w:ascii="Times New Roman" w:hAnsi="Times New Roman" w:eastAsia="宋体"/>
                <w:b/>
                <w:sz w:val="18"/>
              </w:rPr>
              <w:t>第三峰读数</w:t>
            </w:r>
          </w:p>
        </w:tc>
        <w:tc>
          <w:tcPr>
            <w:tcW w:type="dxa" w:w="2041"/>
            <w:tcBorders>
              <w:bottom w:val="single" w:sz="6"/>
            </w:tcBorders>
          </w:tcPr>
          <w:p>
            <w:pPr>
              <w:spacing w:before="20" w:after="20"/>
              <w:jc w:val="center"/>
            </w:pPr>
            <w:r>
              <w:rPr>
                <w:rFonts w:ascii="Times New Roman" w:hAnsi="Times New Roman" w:eastAsia="宋体"/>
                <w:b/>
                <w:sz w:val="18"/>
              </w:rPr>
              <w:t>结论</w:t>
            </w:r>
          </w:p>
        </w:tc>
      </w:tr>
      <w:tr>
        <w:trPr>
          <w:cantSplit/>
        </w:trPr>
        <w:tc>
          <w:tcPr>
            <w:tcW w:type="dxa" w:w="2041"/>
          </w:tcPr>
          <w:p>
            <w:pPr>
              <w:spacing w:before="20" w:after="20"/>
              <w:jc w:val="center"/>
            </w:pPr>
            <w:r>
              <w:rPr>
                <w:rFonts w:ascii="Times New Roman" w:hAnsi="Times New Roman" w:eastAsia="宋体"/>
                <w:sz w:val="18"/>
              </w:rPr>
              <w:t>4950 Hz</w:t>
            </w:r>
          </w:p>
        </w:tc>
        <w:tc>
          <w:tcPr>
            <w:tcW w:type="dxa" w:w="2041"/>
          </w:tcPr>
          <w:p>
            <w:pPr>
              <w:spacing w:before="20" w:after="20"/>
              <w:jc w:val="center"/>
            </w:pPr>
            <w:r>
              <w:rPr>
                <w:rFonts w:ascii="Times New Roman" w:hAnsi="Times New Roman" w:eastAsia="宋体"/>
                <w:sz w:val="18"/>
              </w:rPr>
              <w:t>24750 Hz</w:t>
            </w:r>
          </w:p>
        </w:tc>
        <w:tc>
          <w:tcPr>
            <w:tcW w:type="dxa" w:w="2041"/>
          </w:tcPr>
          <w:p>
            <w:pPr>
              <w:spacing w:before="20" w:after="20"/>
              <w:jc w:val="center"/>
            </w:pPr>
            <w:r>
              <w:rPr>
                <w:rFonts w:ascii="Times New Roman" w:hAnsi="Times New Roman" w:eastAsia="宋体"/>
                <w:sz w:val="18"/>
              </w:rPr>
              <w:t>24752 Hz</w:t>
            </w:r>
          </w:p>
        </w:tc>
        <w:tc>
          <w:tcPr>
            <w:tcW w:type="dxa" w:w="2041"/>
          </w:tcPr>
          <w:p>
            <w:pPr>
              <w:spacing w:before="20" w:after="20"/>
              <w:jc w:val="center"/>
            </w:pPr>
            <w:r>
              <w:rPr>
                <w:rFonts w:ascii="Times New Roman" w:hAnsi="Times New Roman" w:eastAsia="宋体"/>
                <w:sz w:val="18"/>
              </w:rPr>
              <w:t>正确</w:t>
            </w:r>
          </w:p>
        </w:tc>
      </w:tr>
      <w:tr>
        <w:trPr>
          <w:cantSplit/>
        </w:trPr>
        <w:tc>
          <w:tcPr>
            <w:tcW w:type="dxa" w:w="2041"/>
          </w:tcPr>
          <w:p>
            <w:pPr>
              <w:spacing w:before="20" w:after="20"/>
              <w:jc w:val="center"/>
            </w:pPr>
            <w:r>
              <w:rPr>
                <w:rFonts w:ascii="Times New Roman" w:hAnsi="Times New Roman" w:eastAsia="宋体"/>
                <w:sz w:val="18"/>
              </w:rPr>
              <w:t>5000 Hz</w:t>
            </w:r>
          </w:p>
        </w:tc>
        <w:tc>
          <w:tcPr>
            <w:tcW w:type="dxa" w:w="2041"/>
          </w:tcPr>
          <w:p>
            <w:pPr>
              <w:spacing w:before="20" w:after="20"/>
              <w:jc w:val="center"/>
            </w:pPr>
            <w:r>
              <w:rPr>
                <w:rFonts w:ascii="Times New Roman" w:hAnsi="Times New Roman" w:eastAsia="宋体"/>
                <w:sz w:val="18"/>
              </w:rPr>
              <w:t>25000 Hz</w:t>
            </w:r>
          </w:p>
        </w:tc>
        <w:tc>
          <w:tcPr>
            <w:tcW w:type="dxa" w:w="2041"/>
          </w:tcPr>
          <w:p>
            <w:pPr>
              <w:spacing w:before="20" w:after="20"/>
              <w:jc w:val="center"/>
            </w:pPr>
            <w:r>
              <w:rPr>
                <w:rFonts w:ascii="Times New Roman" w:hAnsi="Times New Roman" w:eastAsia="宋体"/>
                <w:sz w:val="18"/>
              </w:rPr>
              <w:t>24975 Hz</w:t>
            </w:r>
          </w:p>
        </w:tc>
        <w:tc>
          <w:tcPr>
            <w:tcW w:type="dxa" w:w="2041"/>
          </w:tcPr>
          <w:p>
            <w:pPr>
              <w:spacing w:before="20" w:after="20"/>
              <w:jc w:val="center"/>
            </w:pPr>
            <w:r>
              <w:rPr>
                <w:rFonts w:ascii="Times New Roman" w:hAnsi="Times New Roman" w:eastAsia="宋体"/>
                <w:sz w:val="18"/>
              </w:rPr>
              <w:t>边界（fs/2）</w:t>
            </w:r>
          </w:p>
        </w:tc>
      </w:tr>
      <w:tr>
        <w:trPr>
          <w:cantSplit/>
        </w:trPr>
        <w:tc>
          <w:tcPr>
            <w:tcW w:type="dxa" w:w="2041"/>
          </w:tcPr>
          <w:p>
            <w:pPr>
              <w:spacing w:before="20" w:after="20"/>
              <w:jc w:val="center"/>
            </w:pPr>
            <w:r>
              <w:rPr>
                <w:rFonts w:ascii="Times New Roman" w:hAnsi="Times New Roman" w:eastAsia="宋体"/>
                <w:sz w:val="18"/>
              </w:rPr>
              <w:t>5050 Hz</w:t>
            </w:r>
          </w:p>
        </w:tc>
        <w:tc>
          <w:tcPr>
            <w:tcW w:type="dxa" w:w="2041"/>
          </w:tcPr>
          <w:p>
            <w:pPr>
              <w:spacing w:before="20" w:after="20"/>
              <w:jc w:val="center"/>
            </w:pPr>
            <w:r>
              <w:rPr>
                <w:rFonts w:ascii="Times New Roman" w:hAnsi="Times New Roman" w:eastAsia="宋体"/>
                <w:sz w:val="18"/>
              </w:rPr>
              <w:t>25250 Hz</w:t>
            </w:r>
          </w:p>
        </w:tc>
        <w:tc>
          <w:tcPr>
            <w:tcW w:type="dxa" w:w="2041"/>
          </w:tcPr>
          <w:p>
            <w:pPr>
              <w:spacing w:before="20" w:after="20"/>
              <w:jc w:val="center"/>
            </w:pPr>
            <w:r>
              <w:rPr>
                <w:rFonts w:ascii="Times New Roman" w:hAnsi="Times New Roman" w:eastAsia="宋体"/>
                <w:sz w:val="18"/>
              </w:rPr>
              <w:t>24751 Hz</w:t>
            </w:r>
          </w:p>
        </w:tc>
        <w:tc>
          <w:tcPr>
            <w:tcW w:type="dxa" w:w="2041"/>
          </w:tcPr>
          <w:p>
            <w:pPr>
              <w:spacing w:before="20" w:after="20"/>
              <w:jc w:val="center"/>
            </w:pPr>
            <w:r>
              <w:rPr>
                <w:rFonts w:ascii="Times New Roman" w:hAnsi="Times New Roman" w:eastAsia="宋体"/>
                <w:sz w:val="18"/>
              </w:rPr>
              <w:t>折叠：50000 − 25250</w:t>
            </w:r>
          </w:p>
        </w:tc>
      </w:tr>
      <w:tr>
        <w:trPr>
          <w:cantSplit/>
        </w:trPr>
        <w:tc>
          <w:tcPr>
            <w:tcW w:type="dxa" w:w="2041"/>
          </w:tcPr>
          <w:p>
            <w:pPr>
              <w:spacing w:before="20" w:after="20"/>
              <w:jc w:val="center"/>
            </w:pPr>
            <w:r>
              <w:rPr>
                <w:rFonts w:ascii="Times New Roman" w:hAnsi="Times New Roman" w:eastAsia="宋体"/>
                <w:sz w:val="18"/>
              </w:rPr>
              <w:t>5200 Hz</w:t>
            </w:r>
          </w:p>
        </w:tc>
        <w:tc>
          <w:tcPr>
            <w:tcW w:type="dxa" w:w="2041"/>
          </w:tcPr>
          <w:p>
            <w:pPr>
              <w:spacing w:before="20" w:after="20"/>
              <w:jc w:val="center"/>
            </w:pPr>
            <w:r>
              <w:rPr>
                <w:rFonts w:ascii="Times New Roman" w:hAnsi="Times New Roman" w:eastAsia="宋体"/>
                <w:sz w:val="18"/>
              </w:rPr>
              <w:t>26000 Hz</w:t>
            </w:r>
          </w:p>
        </w:tc>
        <w:tc>
          <w:tcPr>
            <w:tcW w:type="dxa" w:w="2041"/>
          </w:tcPr>
          <w:p>
            <w:pPr>
              <w:spacing w:before="20" w:after="20"/>
              <w:jc w:val="center"/>
            </w:pPr>
            <w:r>
              <w:rPr>
                <w:rFonts w:ascii="Times New Roman" w:hAnsi="Times New Roman" w:eastAsia="宋体"/>
                <w:sz w:val="18"/>
              </w:rPr>
              <w:t>24002 Hz</w:t>
            </w:r>
          </w:p>
        </w:tc>
        <w:tc>
          <w:tcPr>
            <w:tcW w:type="dxa" w:w="2041"/>
          </w:tcPr>
          <w:p>
            <w:pPr>
              <w:spacing w:before="20" w:after="20"/>
              <w:jc w:val="center"/>
            </w:pPr>
            <w:r>
              <w:rPr>
                <w:rFonts w:ascii="Times New Roman" w:hAnsi="Times New Roman" w:eastAsia="宋体"/>
                <w:sz w:val="18"/>
              </w:rPr>
              <w:t>折叠</w:t>
            </w:r>
          </w:p>
        </w:tc>
      </w:tr>
    </w:tbl>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3.4 设计取舍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同样一套测量功能，实现路径往往不止一条。本节记录三处关键选择：选了什么、放弃了什么、代价用哪些数字量化。所有对比数据均来自本作品的综合报告与上板实测，而非估算。</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3.4.1 频谱核：自研 1024 点，而非直接例化 IP</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厂商 FFT IP 核功能完备、文档齐全，直接例化是最省事的路。本作品最终选择了自研 radix-2 DIF 原地运算结构，理由是资源账算下来差得太多。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对比采用同一口径：均为裸核，不含采样缓存、窗函数与峰值检测等外围逻辑；自研侧为 1024 点，IP 侧为 4096 点（IP 侧另有 1024 点配置，但本作品实际使用的是 4096 点那一档，故按此比较）。</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资源项</w:t>
            </w:r>
          </w:p>
        </w:tc>
        <w:tc>
          <w:tcPr>
            <w:tcW w:type="dxa" w:w="2041"/>
            <w:tcBorders>
              <w:bottom w:val="single" w:sz="6"/>
            </w:tcBorders>
          </w:tcPr>
          <w:p>
            <w:pPr>
              <w:spacing w:before="20" w:after="20"/>
              <w:jc w:val="center"/>
            </w:pPr>
            <w:r>
              <w:rPr>
                <w:rFonts w:ascii="Times New Roman" w:hAnsi="Times New Roman" w:eastAsia="宋体"/>
                <w:b/>
                <w:sz w:val="18"/>
              </w:rPr>
              <w:t>IP 裸核（4096 点）</w:t>
            </w:r>
          </w:p>
        </w:tc>
        <w:tc>
          <w:tcPr>
            <w:tcW w:type="dxa" w:w="2041"/>
            <w:tcBorders>
              <w:bottom w:val="single" w:sz="6"/>
            </w:tcBorders>
          </w:tcPr>
          <w:p>
            <w:pPr>
              <w:spacing w:before="20" w:after="20"/>
              <w:jc w:val="center"/>
            </w:pPr>
            <w:r>
              <w:rPr>
                <w:rFonts w:ascii="Times New Roman" w:hAnsi="Times New Roman" w:eastAsia="宋体"/>
                <w:b/>
                <w:sz w:val="18"/>
              </w:rPr>
              <w:t>自研核（1024 点）</w:t>
            </w:r>
          </w:p>
        </w:tc>
        <w:tc>
          <w:tcPr>
            <w:tcW w:type="dxa" w:w="2041"/>
            <w:tcBorders>
              <w:bottom w:val="single" w:sz="6"/>
            </w:tcBorders>
          </w:tcPr>
          <w:p>
            <w:pPr>
              <w:spacing w:before="20" w:after="20"/>
              <w:jc w:val="center"/>
            </w:pPr>
            <w:r>
              <w:rPr>
                <w:rFonts w:ascii="Times New Roman" w:hAnsi="Times New Roman" w:eastAsia="宋体"/>
                <w:b/>
                <w:sz w:val="18"/>
              </w:rPr>
              <w:t>比值</w:t>
            </w:r>
          </w:p>
        </w:tc>
      </w:tr>
      <w:tr>
        <w:trPr>
          <w:cantSplit/>
        </w:trPr>
        <w:tc>
          <w:tcPr>
            <w:tcW w:type="dxa" w:w="2041"/>
          </w:tcPr>
          <w:p>
            <w:pPr>
              <w:spacing w:before="20" w:after="20"/>
              <w:jc w:val="center"/>
            </w:pPr>
            <w:r>
              <w:rPr>
                <w:rFonts w:ascii="Times New Roman" w:hAnsi="Times New Roman" w:eastAsia="宋体"/>
                <w:sz w:val="18"/>
              </w:rPr>
              <w:t>LUT</w:t>
            </w:r>
          </w:p>
        </w:tc>
        <w:tc>
          <w:tcPr>
            <w:tcW w:type="dxa" w:w="2041"/>
          </w:tcPr>
          <w:p>
            <w:pPr>
              <w:spacing w:before="20" w:after="20"/>
              <w:jc w:val="center"/>
            </w:pPr>
            <w:r>
              <w:rPr>
                <w:rFonts w:ascii="Times New Roman" w:hAnsi="Times New Roman" w:eastAsia="宋体"/>
                <w:sz w:val="18"/>
              </w:rPr>
              <w:t>1771</w:t>
            </w:r>
          </w:p>
        </w:tc>
        <w:tc>
          <w:tcPr>
            <w:tcW w:type="dxa" w:w="2041"/>
          </w:tcPr>
          <w:p>
            <w:pPr>
              <w:spacing w:before="20" w:after="20"/>
              <w:jc w:val="center"/>
            </w:pPr>
            <w:r>
              <w:rPr>
                <w:rFonts w:ascii="Times New Roman" w:hAnsi="Times New Roman" w:eastAsia="宋体"/>
                <w:sz w:val="18"/>
              </w:rPr>
              <w:t>502</w:t>
            </w:r>
          </w:p>
        </w:tc>
        <w:tc>
          <w:tcPr>
            <w:tcW w:type="dxa" w:w="2041"/>
          </w:tcPr>
          <w:p>
            <w:pPr>
              <w:spacing w:before="20" w:after="20"/>
              <w:jc w:val="center"/>
            </w:pPr>
            <w:r>
              <w:rPr>
                <w:rFonts w:ascii="Times New Roman" w:hAnsi="Times New Roman" w:eastAsia="宋体"/>
                <w:sz w:val="18"/>
              </w:rPr>
              <w:t>约 1/3.5</w:t>
            </w:r>
          </w:p>
        </w:tc>
      </w:tr>
      <w:tr>
        <w:trPr>
          <w:cantSplit/>
        </w:trPr>
        <w:tc>
          <w:tcPr>
            <w:tcW w:type="dxa" w:w="2041"/>
          </w:tcPr>
          <w:p>
            <w:pPr>
              <w:spacing w:before="20" w:after="20"/>
              <w:jc w:val="center"/>
            </w:pPr>
            <w:r>
              <w:rPr>
                <w:rFonts w:ascii="Times New Roman" w:hAnsi="Times New Roman" w:eastAsia="宋体"/>
                <w:sz w:val="18"/>
              </w:rPr>
              <w:t>触发器 FF</w:t>
            </w:r>
          </w:p>
        </w:tc>
        <w:tc>
          <w:tcPr>
            <w:tcW w:type="dxa" w:w="2041"/>
          </w:tcPr>
          <w:p>
            <w:pPr>
              <w:spacing w:before="20" w:after="20"/>
              <w:jc w:val="center"/>
            </w:pPr>
            <w:r>
              <w:rPr>
                <w:rFonts w:ascii="Times New Roman" w:hAnsi="Times New Roman" w:eastAsia="宋体"/>
                <w:sz w:val="18"/>
              </w:rPr>
              <w:t>2550</w:t>
            </w:r>
          </w:p>
        </w:tc>
        <w:tc>
          <w:tcPr>
            <w:tcW w:type="dxa" w:w="2041"/>
          </w:tcPr>
          <w:p>
            <w:pPr>
              <w:spacing w:before="20" w:after="20"/>
              <w:jc w:val="center"/>
            </w:pPr>
            <w:r>
              <w:rPr>
                <w:rFonts w:ascii="Times New Roman" w:hAnsi="Times New Roman" w:eastAsia="宋体"/>
                <w:sz w:val="18"/>
              </w:rPr>
              <w:t>346</w:t>
            </w:r>
          </w:p>
        </w:tc>
        <w:tc>
          <w:tcPr>
            <w:tcW w:type="dxa" w:w="2041"/>
          </w:tcPr>
          <w:p>
            <w:pPr>
              <w:spacing w:before="20" w:after="20"/>
              <w:jc w:val="center"/>
            </w:pPr>
            <w:r>
              <w:rPr>
                <w:rFonts w:ascii="Times New Roman" w:hAnsi="Times New Roman" w:eastAsia="宋体"/>
                <w:sz w:val="18"/>
              </w:rPr>
              <w:t>约 1/7.4</w:t>
            </w:r>
          </w:p>
        </w:tc>
      </w:tr>
      <w:tr>
        <w:trPr>
          <w:cantSplit/>
        </w:trPr>
        <w:tc>
          <w:tcPr>
            <w:tcW w:type="dxa" w:w="2041"/>
          </w:tcPr>
          <w:p>
            <w:pPr>
              <w:spacing w:before="20" w:after="20"/>
              <w:jc w:val="center"/>
            </w:pPr>
            <w:r>
              <w:rPr>
                <w:rFonts w:ascii="Times New Roman" w:hAnsi="Times New Roman" w:eastAsia="宋体"/>
                <w:sz w:val="18"/>
              </w:rPr>
              <w:t>DSP48</w:t>
            </w:r>
          </w:p>
        </w:tc>
        <w:tc>
          <w:tcPr>
            <w:tcW w:type="dxa" w:w="2041"/>
          </w:tcPr>
          <w:p>
            <w:pPr>
              <w:spacing w:before="20" w:after="20"/>
              <w:jc w:val="center"/>
            </w:pPr>
            <w:r>
              <w:rPr>
                <w:rFonts w:ascii="Times New Roman" w:hAnsi="Times New Roman" w:eastAsia="宋体"/>
                <w:sz w:val="18"/>
              </w:rPr>
              <w:t>9</w:t>
            </w:r>
          </w:p>
        </w:tc>
        <w:tc>
          <w:tcPr>
            <w:tcW w:type="dxa" w:w="2041"/>
          </w:tcPr>
          <w:p>
            <w:pPr>
              <w:spacing w:before="20" w:after="20"/>
              <w:jc w:val="center"/>
            </w:pPr>
            <w:r>
              <w:rPr>
                <w:rFonts w:ascii="Times New Roman" w:hAnsi="Times New Roman" w:eastAsia="宋体"/>
                <w:sz w:val="18"/>
              </w:rPr>
              <w:t>7</w:t>
            </w:r>
          </w:p>
        </w:tc>
        <w:tc>
          <w:tcPr>
            <w:tcW w:type="dxa" w:w="2041"/>
          </w:tcPr>
          <w:p>
            <w:pPr>
              <w:spacing w:before="20" w:after="20"/>
              <w:jc w:val="center"/>
            </w:pPr>
            <w:r>
              <w:rPr>
                <w:rFonts w:ascii="Times New Roman" w:hAnsi="Times New Roman" w:eastAsia="宋体"/>
                <w:sz w:val="18"/>
              </w:rPr>
              <w:t>约 1/1.3</w:t>
            </w:r>
          </w:p>
        </w:tc>
      </w:tr>
      <w:tr>
        <w:trPr>
          <w:cantSplit/>
        </w:trPr>
        <w:tc>
          <w:tcPr>
            <w:tcW w:type="dxa" w:w="2041"/>
          </w:tcPr>
          <w:p>
            <w:pPr>
              <w:spacing w:before="20" w:after="20"/>
              <w:jc w:val="center"/>
            </w:pPr>
            <w:r>
              <w:rPr>
                <w:rFonts w:ascii="Times New Roman" w:hAnsi="Times New Roman" w:eastAsia="宋体"/>
                <w:sz w:val="18"/>
              </w:rPr>
              <w:t>块 RAM</w:t>
            </w:r>
          </w:p>
        </w:tc>
        <w:tc>
          <w:tcPr>
            <w:tcW w:type="dxa" w:w="2041"/>
          </w:tcPr>
          <w:p>
            <w:pPr>
              <w:spacing w:before="20" w:after="20"/>
              <w:jc w:val="center"/>
            </w:pPr>
            <w:r>
              <w:rPr>
                <w:rFonts w:ascii="Times New Roman" w:hAnsi="Times New Roman" w:eastAsia="宋体"/>
                <w:sz w:val="18"/>
              </w:rPr>
              <w:t>11×RAMB18</w:t>
            </w:r>
          </w:p>
        </w:tc>
        <w:tc>
          <w:tcPr>
            <w:tcW w:type="dxa" w:w="2041"/>
          </w:tcPr>
          <w:p>
            <w:pPr>
              <w:spacing w:before="20" w:after="20"/>
              <w:jc w:val="center"/>
            </w:pPr>
            <w:r>
              <w:rPr>
                <w:rFonts w:ascii="Times New Roman" w:hAnsi="Times New Roman" w:eastAsia="宋体"/>
                <w:sz w:val="18"/>
              </w:rPr>
              <w:t>1×RAMB36 + 2×RAMB18</w:t>
            </w:r>
          </w:p>
        </w:tc>
        <w:tc>
          <w:tcPr>
            <w:tcW w:type="dxa" w:w="2041"/>
          </w:tcPr>
          <w:p>
            <w:pPr>
              <w:spacing w:before="20" w:after="20"/>
              <w:jc w:val="center"/>
            </w:pPr>
            <w:r>
              <w:rPr>
                <w:rFonts w:ascii="Times New Roman" w:hAnsi="Times New Roman" w:eastAsia="宋体"/>
                <w:sz w:val="18"/>
              </w:rPr>
              <w:t>约 1/2.8（按 36Kb 折算）</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省资源本身不构成理由 —— 省了资源却算错，等于没做。所以更关键的是正确性验证。自研核的三个峰位（SF、S2、S3）与 Python 整数模型</w:t>
      </w:r>
      <w:r>
        <w:rPr>
          <w:rFonts w:ascii="Times New Roman" w:hAnsi="Times New Roman" w:eastAsia="宋体"/>
          <w:sz w:val="24"/>
          <w:b/>
        </w:rPr>
        <w:t xml:space="preserve">逐字一致</w:t>
      </w:r>
      <w:r>
        <w:rPr>
          <w:rFonts w:ascii="Times New Roman" w:hAnsi="Times New Roman" w:eastAsia="宋体"/>
          <w:sz w:val="24"/>
        </w:rPr>
        <w:t xml:space="preserve">，不是「误差在允许范围内」，而是每一位都对得上。这相当于给自研核配了一个可独立复算的参照物：把同一段采样喂给 Python 模型，算出来的数字必须和 FPGA 上一模一样。</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IP 通路与自研通路在 1kHz 方波上给出的结论也一致：IP 报主峰 1001Hz、次峰 3003Hz，自研报 976 / 2978 / 4980。两者数值不同是因为点数不同（4096 点 Δf=12.2Hz，1024 点 Δf=48.8Hz），但都指向基波与其三次谐波这个事实。换句话说，1/3.5 的 LUT 换来的不是「近似结果」，而是同一个结论。</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代价是明确的：点数少 4 倍，分辨率从 12.2Hz 降到 48.8Hz。这一点在 3.4.2 单独讨论。</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3.4.2 点数与精度：用 1/4 的点数，达到同等的频率精度</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把点数从 4096 降到 1024 的直接后果是 Δf 变粗 4 倍。如果只做 FFT 就结束，1kHz 的信号会被量化到 976Hz，误差 2.4%，这个数字在测量仪器上不能接受。</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本作品的解法是把「分辨率」这个指标的代价用算法补回来，而不是用资源补：加 Hann 窗压低泄漏，再用抛物线插值从相邻三个 bin 反推真实峰位。实测效果如下。</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指标</w:t>
            </w:r>
          </w:p>
        </w:tc>
        <w:tc>
          <w:tcPr>
            <w:tcW w:type="dxa" w:w="2041"/>
            <w:tcBorders>
              <w:bottom w:val="single" w:sz="6"/>
            </w:tcBorders>
          </w:tcPr>
          <w:p>
            <w:pPr>
              <w:spacing w:before="20" w:after="20"/>
              <w:jc w:val="center"/>
            </w:pPr>
            <w:r>
              <w:rPr>
                <w:rFonts w:ascii="Times New Roman" w:hAnsi="Times New Roman" w:eastAsia="宋体"/>
                <w:b/>
                <w:sz w:val="18"/>
              </w:rPr>
              <w:t>只做 FFT</w:t>
            </w:r>
          </w:p>
        </w:tc>
        <w:tc>
          <w:tcPr>
            <w:tcW w:type="dxa" w:w="2041"/>
            <w:tcBorders>
              <w:bottom w:val="single" w:sz="6"/>
            </w:tcBorders>
          </w:tcPr>
          <w:p>
            <w:pPr>
              <w:spacing w:before="20" w:after="20"/>
              <w:jc w:val="center"/>
            </w:pPr>
            <w:r>
              <w:rPr>
                <w:rFonts w:ascii="Times New Roman" w:hAnsi="Times New Roman" w:eastAsia="宋体"/>
                <w:b/>
                <w:sz w:val="18"/>
              </w:rPr>
              <w:t>加窗 + 插值</w:t>
            </w:r>
          </w:p>
        </w:tc>
        <w:tc>
          <w:tcPr>
            <w:tcW w:type="dxa" w:w="2041"/>
            <w:tcBorders>
              <w:bottom w:val="single" w:sz="6"/>
            </w:tcBorders>
          </w:tcPr>
          <w:p>
            <w:pPr>
              <w:spacing w:before="20" w:after="20"/>
              <w:jc w:val="center"/>
            </w:pPr>
            <w:r>
              <w:rPr>
                <w:rFonts w:ascii="Times New Roman" w:hAnsi="Times New Roman" w:eastAsia="宋体"/>
                <w:b/>
                <w:sz w:val="18"/>
              </w:rPr>
              <w:t>改善</w:t>
            </w:r>
          </w:p>
        </w:tc>
      </w:tr>
      <w:tr>
        <w:trPr>
          <w:cantSplit/>
        </w:trPr>
        <w:tc>
          <w:tcPr>
            <w:tcW w:type="dxa" w:w="2041"/>
          </w:tcPr>
          <w:p>
            <w:pPr>
              <w:spacing w:before="20" w:after="20"/>
              <w:jc w:val="center"/>
            </w:pPr>
            <w:r>
              <w:rPr>
                <w:rFonts w:ascii="Times New Roman" w:hAnsi="Times New Roman" w:eastAsia="宋体"/>
                <w:sz w:val="18"/>
              </w:rPr>
              <w:t>谱泄漏</w:t>
            </w:r>
          </w:p>
        </w:tc>
        <w:tc>
          <w:tcPr>
            <w:tcW w:type="dxa" w:w="2041"/>
          </w:tcPr>
          <w:p>
            <w:pPr>
              <w:spacing w:before="20" w:after="20"/>
              <w:jc w:val="center"/>
            </w:pPr>
            <w:r>
              <w:rPr>
                <w:rFonts w:ascii="Times New Roman" w:hAnsi="Times New Roman" w:eastAsia="宋体"/>
                <w:sz w:val="18"/>
              </w:rPr>
              <w:t>14.7%</w:t>
            </w:r>
          </w:p>
        </w:tc>
        <w:tc>
          <w:tcPr>
            <w:tcW w:type="dxa" w:w="2041"/>
          </w:tcPr>
          <w:p>
            <w:pPr>
              <w:spacing w:before="20" w:after="20"/>
              <w:jc w:val="center"/>
            </w:pPr>
            <w:r>
              <w:rPr>
                <w:rFonts w:ascii="Times New Roman" w:hAnsi="Times New Roman" w:eastAsia="宋体"/>
                <w:sz w:val="18"/>
              </w:rPr>
              <w:t>0.9%</w:t>
            </w:r>
          </w:p>
        </w:tc>
        <w:tc>
          <w:tcPr>
            <w:tcW w:type="dxa" w:w="2041"/>
          </w:tcPr>
          <w:p>
            <w:pPr>
              <w:spacing w:before="20" w:after="20"/>
              <w:jc w:val="center"/>
            </w:pPr>
            <w:r>
              <w:rPr>
                <w:rFonts w:ascii="Times New Roman" w:hAnsi="Times New Roman" w:eastAsia="宋体"/>
                <w:sz w:val="18"/>
              </w:rPr>
              <w:t>16 倍</w:t>
            </w:r>
          </w:p>
        </w:tc>
      </w:tr>
      <w:tr>
        <w:trPr>
          <w:cantSplit/>
        </w:trPr>
        <w:tc>
          <w:tcPr>
            <w:tcW w:type="dxa" w:w="2041"/>
          </w:tcPr>
          <w:p>
            <w:pPr>
              <w:spacing w:before="20" w:after="20"/>
              <w:jc w:val="center"/>
            </w:pPr>
            <w:r>
              <w:rPr>
                <w:rFonts w:ascii="Times New Roman" w:hAnsi="Times New Roman" w:eastAsia="宋体"/>
                <w:sz w:val="18"/>
              </w:rPr>
              <w:t>1kHz 读数</w:t>
            </w:r>
          </w:p>
        </w:tc>
        <w:tc>
          <w:tcPr>
            <w:tcW w:type="dxa" w:w="2041"/>
          </w:tcPr>
          <w:p>
            <w:pPr>
              <w:spacing w:before="20" w:after="20"/>
              <w:jc w:val="center"/>
            </w:pPr>
            <w:r>
              <w:rPr>
                <w:rFonts w:ascii="Times New Roman" w:hAnsi="Times New Roman" w:eastAsia="宋体"/>
                <w:sz w:val="18"/>
              </w:rPr>
              <w:t>976 Hz</w:t>
            </w:r>
          </w:p>
        </w:tc>
        <w:tc>
          <w:tcPr>
            <w:tcW w:type="dxa" w:w="2041"/>
          </w:tcPr>
          <w:p>
            <w:pPr>
              <w:spacing w:before="20" w:after="20"/>
              <w:jc w:val="center"/>
            </w:pPr>
            <w:r>
              <w:rPr>
                <w:rFonts w:ascii="Times New Roman" w:hAnsi="Times New Roman" w:eastAsia="宋体"/>
                <w:sz w:val="18"/>
              </w:rPr>
              <w:t>999 Hz</w:t>
            </w:r>
          </w:p>
        </w:tc>
        <w:tc>
          <w:tcPr>
            <w:tcW w:type="dxa" w:w="2041"/>
          </w:tcPr>
          <w:p>
            <w:pPr>
              <w:spacing w:before="20" w:after="20"/>
              <w:jc w:val="center"/>
            </w:pPr>
            <w:r>
              <w:rPr>
                <w:rFonts w:ascii="Times New Roman" w:hAnsi="Times New Roman" w:eastAsia="宋体"/>
                <w:sz w:val="18"/>
              </w:rPr>
              <w:t>误差 2.4% → 0.1%</w:t>
            </w:r>
          </w:p>
        </w:tc>
      </w:tr>
      <w:tr>
        <w:trPr>
          <w:cantSplit/>
        </w:trPr>
        <w:tc>
          <w:tcPr>
            <w:tcW w:type="dxa" w:w="2041"/>
          </w:tcPr>
          <w:p>
            <w:pPr>
              <w:spacing w:before="20" w:after="20"/>
              <w:jc w:val="center"/>
            </w:pPr>
            <w:r>
              <w:rPr>
                <w:rFonts w:ascii="Times New Roman" w:hAnsi="Times New Roman" w:eastAsia="宋体"/>
                <w:sz w:val="18"/>
              </w:rPr>
              <w:t>1kHz 方波三峰</w:t>
            </w:r>
          </w:p>
        </w:tc>
        <w:tc>
          <w:tcPr>
            <w:tcW w:type="dxa" w:w="2041"/>
          </w:tcPr>
          <w:p>
            <w:pPr>
              <w:spacing w:before="20" w:after="20"/>
              <w:jc w:val="center"/>
            </w:pPr>
            <w:r>
              <w:rPr>
                <w:rFonts w:ascii="Times New Roman" w:hAnsi="Times New Roman" w:eastAsia="宋体"/>
                <w:sz w:val="18"/>
              </w:rPr>
              <w:t>976 / 2978 / 4980</w:t>
            </w:r>
          </w:p>
        </w:tc>
        <w:tc>
          <w:tcPr>
            <w:tcW w:type="dxa" w:w="2041"/>
          </w:tcPr>
          <w:p>
            <w:pPr>
              <w:spacing w:before="20" w:after="20"/>
              <w:jc w:val="center"/>
            </w:pPr>
            <w:r>
              <w:rPr>
                <w:rFonts w:ascii="Times New Roman" w:hAnsi="Times New Roman" w:eastAsia="宋体"/>
                <w:sz w:val="18"/>
              </w:rPr>
              <w:t>999 / 2998 / 4997</w:t>
            </w:r>
          </w:p>
        </w:tc>
        <w:tc>
          <w:tcPr>
            <w:tcW w:type="dxa" w:w="2041"/>
          </w:tcPr>
          <w:p>
            <w:pPr>
              <w:spacing w:before="20" w:after="20"/>
              <w:jc w:val="center"/>
            </w:pPr>
            <w:r>
              <w:rPr>
                <w:rFonts w:ascii="Times New Roman" w:hAnsi="Times New Roman" w:eastAsia="宋体"/>
                <w:sz w:val="18"/>
              </w:rPr>
              <w:t>均 &lt; 0.1%</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这处取舍的意义在于：资源是硬的，算法是软的。把指标压在算法上，省下来的 LUT 可以用来放第二个 FFT（IP 通路）和波形识别网络，整片 LUT 才落在 37.91%。若改用 4096 点自研核，单是蝶形级数增加就会让资源翻倍，双实现互校这个设计前提也就不成立了。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同时也必须承认它的边界：插值只能修正「单峰落在两个 bin 之间」的情形。当两峰间隔小于一个 bin 时，插值无法分离，此时 48.8Hz 的分辨率就是硬上限。3.3 节第（14）条给出的越界实测表，记录的就是这类失效场景。</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3.4.3 锁相：数字相干解调，而非模拟相敏检波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锁相放大在模拟域实现是成熟方案：乘法器加低通滤波即可。本作品选择全数字实现，主要出于三点考虑。</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第一，时间常数可配置且无漂移。模拟锁相的时间常数由 RC 决定，改一次要换元件，且电容漏电、温漂会让直流工作点缓慢移动。数字方案的积分周期在 1~4096 之间可调，32 周期对应 32ms、等效噪声带宽 15.6Hz；128 周期对应带宽 3.9Hz。实测两者均值差异为 0.0%，只有波动从 ±2.9mV 降到 ±2.6mV —— 这说明累加确实是整周期的，否则均值会随积分长度漂移。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第二，参考与激励同源。锁相的参考直接取自 DDS 的频率字，与激励信号严格同频，不存在模拟方案中参考通道的相位漂移问题。代价是必须先知道信号频率 —— 这一点在 3.3 节第（10）条的数据里没有被掩盖：通带只有 15.6Hz，落在通带外的白噪声按等效噪声带宽折算可压低约 32dB（25kHz 奈奎斯特带宽对 15.6Hz），但恰好落在通带内的干扰同样会被算进去。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第三，与主测量链路共用同一份 ADC 数据。锁相、FFT、参数测量三条通路都从 ad_cap 取数，互不干扰：锁相开启时频谱照常刷新，波形帧也照常出。</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实现上采用正交双路（I/Q）而非单路相敏检波，原因是单路输出与信号相位相关，相位恰好落在 90° 时读数趋近于零。取两路正交分量后计算幅度 √(I²+Q²)，结果与相位无关。这一设计在实测中得到验证：回环 1kHz 下，锁相读数 4828mV 与直接峰峰值 4868mV 之比为 0.992。</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以上三处取舍的共同点是：都放弃了「更直接的那条路」，但每一次放弃都对应一个可量化的代价，并且这个代价都在 3.3 节的实测数据里如实记录，包括失效边界。本作品不对任何一项指标做理想化描述。</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3.5 扩展应用：二端网络的幅频与相频测量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前面各节的测量对象都是本系统自身：DDS 产生信号，ADC 收回信号，闭环自证。这种验证能说明链路正确，但说明不了仪器能用来测别的东西。为回答后一个问题，本作品在不改动任何 FPGA 逻辑的前提下，把现有能力组织成一台二端网络特性测量装置。</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3.5.1 方法：直通校准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测量分两遍。第一遍拔掉被测件，让 DAC 直接连到 ADC，逐点记录系统自身的响应；第二遍串入被测件，同样频点再测一遍。两次相除，系统自身的幅频与相频被除掉，剩下的就是被测件。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这不是本作品自创的做法 —— 商用网络分析仪开机后的第一件事就是直通校准，目的完全一样。相位同理：锁相帧本身包含 I 与 Q 两路，相位由反正切直接得出，无需额外硬件。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两遍都使用 19 个</w:t>
      </w:r>
      <w:r>
        <w:rPr>
          <w:rFonts w:ascii="Times New Roman" w:hAnsi="Times New Roman" w:eastAsia="宋体"/>
          <w:sz w:val="24"/>
          <w:b/>
        </w:rPr>
        <w:t xml:space="preserve">对数间隔</w:t>
      </w:r>
      <w:r>
        <w:rPr>
          <w:rFonts w:ascii="Times New Roman" w:hAnsi="Times New Roman" w:eastAsia="宋体"/>
          <w:sz w:val="24"/>
        </w:rPr>
        <w:t xml:space="preserve">频点（1kHz 至 1MHz，每十倍频程 6 点）。不使用板内 0x8B 扫频功能，因为那是线性扫频，而幅频特性图的横轴是对数坐标。</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3.5.2 系统自身响应（直通）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直通一遍的结果本身就是一个指标：本系统在 1MHz 内的幅频不平坦度为 0.034dB（1kHz 为基准，100kHz 处 +0.006dB，464kHz 处 −0.004dB，1MHz 处 −0.034dB）。这个数字说明后续测量可以放心把系统当作平坦通路，同时也解释了为什么两遍归一化后的结果几乎不发生变化 —— 系统确实没有多少可扣的。</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3.5.3 被测件：一阶有源低通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被测件为自行搭焊的一阶有源低通，R=2.2kΩ、C=4.7nF，运放 NE5532，供电压 ±12V。按标称值计算，理论截止频率为 1/(2πRC)=15393Hz。实物见图 3-7。</w:t>
      </w:r>
    </w:p>
    <w:p>
      <w:pPr>
        <w:jc w:val="center"/>
      </w:pPr>
      <w:r>
        <w:drawing>
          <wp:inline xmlns:a="http://schemas.openxmlformats.org/drawingml/2006/main" xmlns:pic="http://schemas.openxmlformats.org/drawingml/2006/picture">
            <wp:extent cx="3060000" cy="4080000"/>
            <wp:docPr id="17" name="Picture 17"/>
            <wp:cNvGraphicFramePr>
              <a:graphicFrameLocks noChangeAspect="1"/>
            </wp:cNvGraphicFramePr>
            <a:graphic>
              <a:graphicData uri="http://schemas.openxmlformats.org/drawingml/2006/picture">
                <pic:pic>
                  <pic:nvPicPr>
                    <pic:cNvPr id="0" name="fig_lpf_module.jpg"/>
                    <pic:cNvPicPr/>
                  </pic:nvPicPr>
                  <pic:blipFill>
                    <a:blip r:embed="rId28"/>
                    <a:stretch>
                      <a:fillRect/>
                    </a:stretch>
                  </pic:blipFill>
                  <pic:spPr>
                    <a:xfrm>
                      <a:off x="0" y="0"/>
                      <a:ext cx="3060000" cy="40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3-7  被测件：一阶有源低通（2.2kΩ + 4.7nF + NE5532，±12V 双电源）</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指标</w:t>
            </w:r>
          </w:p>
        </w:tc>
        <w:tc>
          <w:tcPr>
            <w:tcW w:type="dxa" w:w="2041"/>
            <w:tcBorders>
              <w:bottom w:val="single" w:sz="6"/>
            </w:tcBorders>
          </w:tcPr>
          <w:p>
            <w:pPr>
              <w:spacing w:before="20" w:after="20"/>
              <w:jc w:val="center"/>
            </w:pPr>
            <w:r>
              <w:rPr>
                <w:rFonts w:ascii="Times New Roman" w:hAnsi="Times New Roman" w:eastAsia="宋体"/>
                <w:b/>
                <w:sz w:val="18"/>
              </w:rPr>
              <w:t>理论值</w:t>
            </w:r>
          </w:p>
        </w:tc>
        <w:tc>
          <w:tcPr>
            <w:tcW w:type="dxa" w:w="2041"/>
            <w:tcBorders>
              <w:bottom w:val="single" w:sz="6"/>
            </w:tcBorders>
          </w:tcPr>
          <w:p>
            <w:pPr>
              <w:spacing w:before="20" w:after="20"/>
              <w:jc w:val="center"/>
            </w:pPr>
            <w:r>
              <w:rPr>
                <w:rFonts w:ascii="Times New Roman" w:hAnsi="Times New Roman" w:eastAsia="宋体"/>
                <w:b/>
                <w:sz w:val="18"/>
              </w:rPr>
              <w:t>实测值</w:t>
            </w:r>
          </w:p>
        </w:tc>
        <w:tc>
          <w:tcPr>
            <w:tcW w:type="dxa" w:w="2041"/>
            <w:tcBorders>
              <w:bottom w:val="single" w:sz="6"/>
            </w:tcBorders>
          </w:tcPr>
          <w:p>
            <w:pPr>
              <w:spacing w:before="20" w:after="20"/>
              <w:jc w:val="center"/>
            </w:pPr>
            <w:r>
              <w:rPr>
                <w:rFonts w:ascii="Times New Roman" w:hAnsi="Times New Roman" w:eastAsia="宋体"/>
                <w:b/>
                <w:sz w:val="18"/>
              </w:rPr>
              <w:t>偏差</w:t>
            </w:r>
          </w:p>
        </w:tc>
      </w:tr>
      <w:tr>
        <w:trPr>
          <w:cantSplit/>
        </w:trPr>
        <w:tc>
          <w:tcPr>
            <w:tcW w:type="dxa" w:w="2041"/>
          </w:tcPr>
          <w:p>
            <w:pPr>
              <w:spacing w:before="20" w:after="20"/>
              <w:jc w:val="center"/>
            </w:pPr>
            <w:r>
              <w:rPr>
                <w:rFonts w:ascii="Times New Roman" w:hAnsi="Times New Roman" w:eastAsia="宋体"/>
                <w:sz w:val="18"/>
              </w:rPr>
              <w:t>截止频率 fc</w:t>
            </w:r>
          </w:p>
        </w:tc>
        <w:tc>
          <w:tcPr>
            <w:tcW w:type="dxa" w:w="2041"/>
          </w:tcPr>
          <w:p>
            <w:pPr>
              <w:spacing w:before="20" w:after="20"/>
              <w:jc w:val="center"/>
            </w:pPr>
            <w:r>
              <w:rPr>
                <w:rFonts w:ascii="Times New Roman" w:hAnsi="Times New Roman" w:eastAsia="宋体"/>
                <w:sz w:val="18"/>
              </w:rPr>
              <w:t>15393 Hz</w:t>
            </w:r>
          </w:p>
        </w:tc>
        <w:tc>
          <w:tcPr>
            <w:tcW w:type="dxa" w:w="2041"/>
          </w:tcPr>
          <w:p>
            <w:pPr>
              <w:spacing w:before="20" w:after="20"/>
              <w:jc w:val="center"/>
            </w:pPr>
            <w:r>
              <w:rPr>
                <w:rFonts w:ascii="Times New Roman" w:hAnsi="Times New Roman" w:eastAsia="宋体"/>
                <w:sz w:val="18"/>
              </w:rPr>
              <w:t>15370 Hz</w:t>
            </w:r>
          </w:p>
        </w:tc>
        <w:tc>
          <w:tcPr>
            <w:tcW w:type="dxa" w:w="2041"/>
          </w:tcPr>
          <w:p>
            <w:pPr>
              <w:spacing w:before="20" w:after="20"/>
              <w:jc w:val="center"/>
            </w:pPr>
            <w:r>
              <w:rPr>
                <w:rFonts w:ascii="Times New Roman" w:hAnsi="Times New Roman" w:eastAsia="宋体"/>
                <w:sz w:val="18"/>
              </w:rPr>
              <w:t>0.15%</w:t>
            </w:r>
          </w:p>
        </w:tc>
      </w:tr>
      <w:tr>
        <w:trPr>
          <w:cantSplit/>
        </w:trPr>
        <w:tc>
          <w:tcPr>
            <w:tcW w:type="dxa" w:w="2041"/>
          </w:tcPr>
          <w:p>
            <w:pPr>
              <w:spacing w:before="20" w:after="20"/>
              <w:jc w:val="center"/>
            </w:pPr>
            <w:r>
              <w:rPr>
                <w:rFonts w:ascii="Times New Roman" w:hAnsi="Times New Roman" w:eastAsia="宋体"/>
                <w:sz w:val="18"/>
              </w:rPr>
              <w:t>滚降斜率（100k→1M）</w:t>
            </w:r>
          </w:p>
        </w:tc>
        <w:tc>
          <w:tcPr>
            <w:tcW w:type="dxa" w:w="2041"/>
          </w:tcPr>
          <w:p>
            <w:pPr>
              <w:spacing w:before="20" w:after="20"/>
              <w:jc w:val="center"/>
            </w:pPr>
            <w:r>
              <w:rPr>
                <w:rFonts w:ascii="Times New Roman" w:hAnsi="Times New Roman" w:eastAsia="宋体"/>
                <w:sz w:val="18"/>
              </w:rPr>
              <w:t>−20.0 dB/dec</w:t>
            </w:r>
          </w:p>
        </w:tc>
        <w:tc>
          <w:tcPr>
            <w:tcW w:type="dxa" w:w="2041"/>
          </w:tcPr>
          <w:p>
            <w:pPr>
              <w:spacing w:before="20" w:after="20"/>
              <w:jc w:val="center"/>
            </w:pPr>
            <w:r>
              <w:rPr>
                <w:rFonts w:ascii="Times New Roman" w:hAnsi="Times New Roman" w:eastAsia="宋体"/>
                <w:sz w:val="18"/>
              </w:rPr>
              <w:t>−19.03 dB/dec</w:t>
            </w:r>
          </w:p>
        </w:tc>
        <w:tc>
          <w:tcPr>
            <w:tcW w:type="dxa" w:w="2041"/>
          </w:tcPr>
          <w:p>
            <w:pPr>
              <w:spacing w:before="20" w:after="20"/>
              <w:jc w:val="center"/>
            </w:pPr>
            <w:r>
              <w:rPr>
                <w:rFonts w:ascii="Times New Roman" w:hAnsi="Times New Roman" w:eastAsia="宋体"/>
                <w:sz w:val="18"/>
              </w:rPr>
              <w:t>5%</w:t>
            </w:r>
          </w:p>
        </w:tc>
      </w:tr>
      <w:tr>
        <w:trPr>
          <w:cantSplit/>
        </w:trPr>
        <w:tc>
          <w:tcPr>
            <w:tcW w:type="dxa" w:w="2041"/>
          </w:tcPr>
          <w:p>
            <w:pPr>
              <w:spacing w:before="20" w:after="20"/>
              <w:jc w:val="center"/>
            </w:pPr>
            <w:r>
              <w:rPr>
                <w:rFonts w:ascii="Times New Roman" w:hAnsi="Times New Roman" w:eastAsia="宋体"/>
                <w:sz w:val="18"/>
              </w:rPr>
              <w:t>滚降斜率（46k→464k）</w:t>
            </w:r>
          </w:p>
        </w:tc>
        <w:tc>
          <w:tcPr>
            <w:tcW w:type="dxa" w:w="2041"/>
          </w:tcPr>
          <w:p>
            <w:pPr>
              <w:spacing w:before="20" w:after="20"/>
              <w:jc w:val="center"/>
            </w:pPr>
            <w:r>
              <w:rPr>
                <w:rFonts w:ascii="Times New Roman" w:hAnsi="Times New Roman" w:eastAsia="宋体"/>
                <w:sz w:val="18"/>
              </w:rPr>
              <w:t>−20.0 dB/dec</w:t>
            </w:r>
          </w:p>
        </w:tc>
        <w:tc>
          <w:tcPr>
            <w:tcW w:type="dxa" w:w="2041"/>
          </w:tcPr>
          <w:p>
            <w:pPr>
              <w:spacing w:before="20" w:after="20"/>
              <w:jc w:val="center"/>
            </w:pPr>
            <w:r>
              <w:rPr>
                <w:rFonts w:ascii="Times New Roman" w:hAnsi="Times New Roman" w:eastAsia="宋体"/>
                <w:sz w:val="18"/>
              </w:rPr>
              <w:t>−19.45 dB/dec</w:t>
            </w:r>
          </w:p>
        </w:tc>
        <w:tc>
          <w:tcPr>
            <w:tcW w:type="dxa" w:w="2041"/>
          </w:tcPr>
          <w:p>
            <w:pPr>
              <w:spacing w:before="20" w:after="20"/>
              <w:jc w:val="center"/>
            </w:pPr>
            <w:r>
              <w:rPr>
                <w:rFonts w:ascii="Times New Roman" w:hAnsi="Times New Roman" w:eastAsia="宋体"/>
                <w:sz w:val="18"/>
              </w:rPr>
              <w:t>2.8%</w:t>
            </w:r>
          </w:p>
        </w:tc>
      </w:tr>
      <w:tr>
        <w:trPr>
          <w:cantSplit/>
        </w:trPr>
        <w:tc>
          <w:tcPr>
            <w:tcW w:type="dxa" w:w="2041"/>
          </w:tcPr>
          <w:p>
            <w:pPr>
              <w:spacing w:before="20" w:after="20"/>
              <w:jc w:val="center"/>
            </w:pPr>
            <w:r>
              <w:rPr>
                <w:rFonts w:ascii="Times New Roman" w:hAnsi="Times New Roman" w:eastAsia="宋体"/>
                <w:sz w:val="18"/>
              </w:rPr>
              <w:t>滚降斜率（32k→316k）</w:t>
            </w:r>
          </w:p>
        </w:tc>
        <w:tc>
          <w:tcPr>
            <w:tcW w:type="dxa" w:w="2041"/>
          </w:tcPr>
          <w:p>
            <w:pPr>
              <w:spacing w:before="20" w:after="20"/>
              <w:jc w:val="center"/>
            </w:pPr>
            <w:r>
              <w:rPr>
                <w:rFonts w:ascii="Times New Roman" w:hAnsi="Times New Roman" w:eastAsia="宋体"/>
                <w:sz w:val="18"/>
              </w:rPr>
              <w:t>−20.0 dB/dec</w:t>
            </w:r>
          </w:p>
        </w:tc>
        <w:tc>
          <w:tcPr>
            <w:tcW w:type="dxa" w:w="2041"/>
          </w:tcPr>
          <w:p>
            <w:pPr>
              <w:spacing w:before="20" w:after="20"/>
              <w:jc w:val="center"/>
            </w:pPr>
            <w:r>
              <w:rPr>
                <w:rFonts w:ascii="Times New Roman" w:hAnsi="Times New Roman" w:eastAsia="宋体"/>
                <w:sz w:val="18"/>
              </w:rPr>
              <w:t>−19.35 dB/dec</w:t>
            </w:r>
          </w:p>
        </w:tc>
        <w:tc>
          <w:tcPr>
            <w:tcW w:type="dxa" w:w="2041"/>
          </w:tcPr>
          <w:p>
            <w:pPr>
              <w:spacing w:before="20" w:after="20"/>
              <w:jc w:val="center"/>
            </w:pPr>
            <w:r>
              <w:rPr>
                <w:rFonts w:ascii="Times New Roman" w:hAnsi="Times New Roman" w:eastAsia="宋体"/>
                <w:sz w:val="18"/>
              </w:rPr>
              <w:t>3.3%</w:t>
            </w:r>
          </w:p>
        </w:tc>
      </w:tr>
      <w:tr>
        <w:trPr>
          <w:cantSplit/>
        </w:trPr>
        <w:tc>
          <w:tcPr>
            <w:tcW w:type="dxa" w:w="2041"/>
          </w:tcPr>
          <w:p>
            <w:pPr>
              <w:spacing w:before="20" w:after="20"/>
              <w:jc w:val="center"/>
            </w:pPr>
            <w:r>
              <w:rPr>
                <w:rFonts w:ascii="Times New Roman" w:hAnsi="Times New Roman" w:eastAsia="宋体"/>
                <w:sz w:val="18"/>
              </w:rPr>
              <w:t>通带幅度残差</w:t>
            </w:r>
          </w:p>
        </w:tc>
        <w:tc>
          <w:tcPr>
            <w:tcW w:type="dxa" w:w="2041"/>
          </w:tcPr>
          <w:p>
            <w:pPr>
              <w:spacing w:before="20" w:after="20"/>
              <w:jc w:val="center"/>
            </w:pPr>
            <w:r>
              <w:rPr>
                <w:rFonts w:ascii="Times New Roman" w:hAnsi="Times New Roman" w:eastAsia="宋体"/>
                <w:sz w:val="18"/>
              </w:rPr>
              <w:t>0%</w:t>
            </w:r>
          </w:p>
        </w:tc>
        <w:tc>
          <w:tcPr>
            <w:tcW w:type="dxa" w:w="2041"/>
          </w:tcPr>
          <w:p>
            <w:pPr>
              <w:spacing w:before="20" w:after="20"/>
              <w:jc w:val="center"/>
            </w:pPr>
            <w:r>
              <w:rPr>
                <w:rFonts w:ascii="Times New Roman" w:hAnsi="Times New Roman" w:eastAsia="宋体"/>
                <w:sz w:val="18"/>
              </w:rPr>
              <w:t>≤1.2%（1k~68kHz）</w:t>
            </w:r>
          </w:p>
        </w:tc>
        <w:tc>
          <w:tcPr>
            <w:tcW w:type="dxa" w:w="2041"/>
          </w:tcPr>
          <w:p>
            <w:pPr>
              <w:spacing w:before="20" w:after="20"/>
              <w:jc w:val="center"/>
            </w:pPr>
            <w:r>
              <w:rPr>
                <w:rFonts w:ascii="Times New Roman" w:hAnsi="Times New Roman" w:eastAsia="宋体"/>
                <w:sz w:val="18"/>
              </w:rPr>
              <w:t>—</w:t>
            </w:r>
          </w:p>
        </w:tc>
      </w:tr>
    </w:tbl>
    <w:p>
      <w:pPr>
        <w:jc w:val="center"/>
      </w:pPr>
      <w:r>
        <w:drawing>
          <wp:inline xmlns:a="http://schemas.openxmlformats.org/drawingml/2006/main" xmlns:pic="http://schemas.openxmlformats.org/drawingml/2006/picture">
            <wp:extent cx="5580000" cy="4963198"/>
            <wp:docPr id="18" name="Picture 18"/>
            <wp:cNvGraphicFramePr>
              <a:graphicFrameLocks noChangeAspect="1"/>
            </wp:cNvGraphicFramePr>
            <a:graphic>
              <a:graphicData uri="http://schemas.openxmlformats.org/drawingml/2006/picture">
                <pic:pic>
                  <pic:nvPicPr>
                    <pic:cNvPr id="0" name="lockin_bode_dut.png"/>
                    <pic:cNvPicPr/>
                  </pic:nvPicPr>
                  <pic:blipFill>
                    <a:blip r:embed="rId29"/>
                    <a:stretch>
                      <a:fillRect/>
                    </a:stretch>
                  </pic:blipFill>
                  <pic:spPr>
                    <a:xfrm>
                      <a:off x="0" y="0"/>
                      <a:ext cx="5580000" cy="4963198"/>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3-8  一阶有源低通的实测波特图（上：幅频；下：相频）</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图 3-8 中灰线为由拟合参数生成的理论曲线，圆点为锁相实测，方块为峰峰值直接测量。可以看到三条信息：一是实测点与理论曲线在通带内几乎重合；二是 300kHz 之后方块点明显高于圆点，说明峰峰值已失效；三是相频曲线在中频段穿过 90°，高频段继续下探。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截止频率偏差 0.15%，小于电容本身的容差（4.7nF 常用 ±10%）。换句话说，测量结果的误差已经小于元件标称值的误差，此时剩余偏差主要来自元件而非仪器。</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3.5.4 相位测量与系统延迟的分离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未经校准直接看被测件相位时，曲线在中频段穿过 90° 后继续下降，1MHz 处达到约 −277°。一阶低通的相移理论极限是 −90°（或反相拓扑的 +90°），出现这样的数值，第一反应会是「接错了」。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实际原因是系统存在传播延迟：延迟在频域表现为与频率成正比的相移，即 −360·f·Td。用三项模型拟合全部 19 点，未校准时得到 Td=0.33µs；</w:t>
      </w:r>
      <w:r>
        <w:rPr>
          <w:rFonts w:ascii="Times New Roman" w:hAnsi="Times New Roman" w:eastAsia="宋体"/>
          <w:sz w:val="24"/>
          <w:b/>
        </w:rPr>
        <w:t xml:space="preserve">做完直通校准后，同一批数据拟合出的 Td 降到 0.04µs</w:t>
      </w:r>
      <w:r>
        <w:rPr>
          <w:rFonts w:ascii="Times New Roman" w:hAnsi="Times New Roman" w:eastAsia="宋体"/>
          <w:sz w:val="24"/>
        </w:rPr>
        <w:t xml:space="preserve">。</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这个变化本身就是校准有效的证据：被扣掉的 0.29µs 来自 DAC 转换、AD 驱动与采样保持，属于系统而不属于被测件，而直通一遍恰好能把它单独量出来。换句话说，本作品不只知道「测出来的相位是多少」，还知道「其中多少是我的账」。</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另有两点如实说明。其一，该被测件实测为</w:t>
      </w:r>
      <w:r>
        <w:rPr>
          <w:rFonts w:ascii="Times New Roman" w:hAnsi="Times New Roman" w:eastAsia="宋体"/>
          <w:sz w:val="24"/>
          <w:b/>
        </w:rPr>
        <w:t xml:space="preserve">反相</w:t>
      </w:r>
      <w:r>
        <w:rPr>
          <w:rFonts w:ascii="Times New Roman" w:hAnsi="Times New Roman" w:eastAsia="宋体"/>
          <w:sz w:val="24"/>
        </w:rPr>
        <w:t xml:space="preserve">拓扑（1kHz 处相位差约 180°），并非最初设想的同相跟随器，相位模型因此采用 φ(f)=180°−arctan(f/fc)；幅度特性不受影响。其二，1kHz 处相位仍有约 9° 的残差，与低频段信噪比下降及过零点判断有关，未做进一步修正。</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3.5.5 顺带得到的一条量程边界</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这次测量同时给出了两条通路失效点的实测值：</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频率</w:t>
            </w:r>
          </w:p>
        </w:tc>
        <w:tc>
          <w:tcPr>
            <w:tcW w:type="dxa" w:w="2041"/>
            <w:tcBorders>
              <w:bottom w:val="single" w:sz="6"/>
            </w:tcBorders>
          </w:tcPr>
          <w:p>
            <w:pPr>
              <w:spacing w:before="20" w:after="20"/>
              <w:jc w:val="center"/>
            </w:pPr>
            <w:r>
              <w:rPr>
                <w:rFonts w:ascii="Times New Roman" w:hAnsi="Times New Roman" w:eastAsia="宋体"/>
                <w:b/>
                <w:sz w:val="18"/>
              </w:rPr>
              <w:t>锁相读数</w:t>
            </w:r>
          </w:p>
        </w:tc>
        <w:tc>
          <w:tcPr>
            <w:tcW w:type="dxa" w:w="2041"/>
            <w:tcBorders>
              <w:bottom w:val="single" w:sz="6"/>
            </w:tcBorders>
          </w:tcPr>
          <w:p>
            <w:pPr>
              <w:spacing w:before="20" w:after="20"/>
              <w:jc w:val="center"/>
            </w:pPr>
            <w:r>
              <w:rPr>
                <w:rFonts w:ascii="Times New Roman" w:hAnsi="Times New Roman" w:eastAsia="宋体"/>
                <w:b/>
                <w:sz w:val="18"/>
              </w:rPr>
              <w:t>峰峰值读数</w:t>
            </w:r>
          </w:p>
        </w:tc>
        <w:tc>
          <w:tcPr>
            <w:tcW w:type="dxa" w:w="2041"/>
            <w:tcBorders>
              <w:bottom w:val="single" w:sz="6"/>
            </w:tcBorders>
          </w:tcPr>
          <w:p>
            <w:pPr>
              <w:spacing w:before="20" w:after="20"/>
              <w:jc w:val="center"/>
            </w:pPr>
            <w:r>
              <w:rPr>
                <w:rFonts w:ascii="Times New Roman" w:hAnsi="Times New Roman" w:eastAsia="宋体"/>
                <w:b/>
                <w:sz w:val="18"/>
              </w:rPr>
              <w:t>判断</w:t>
            </w:r>
          </w:p>
        </w:tc>
      </w:tr>
      <w:tr>
        <w:trPr>
          <w:cantSplit/>
        </w:trPr>
        <w:tc>
          <w:tcPr>
            <w:tcW w:type="dxa" w:w="2041"/>
          </w:tcPr>
          <w:p>
            <w:pPr>
              <w:spacing w:before="20" w:after="20"/>
              <w:jc w:val="center"/>
            </w:pPr>
            <w:r>
              <w:rPr>
                <w:rFonts w:ascii="Times New Roman" w:hAnsi="Times New Roman" w:eastAsia="宋体"/>
                <w:sz w:val="18"/>
              </w:rPr>
              <w:t>100 kHz</w:t>
            </w:r>
          </w:p>
        </w:tc>
        <w:tc>
          <w:tcPr>
            <w:tcW w:type="dxa" w:w="2041"/>
          </w:tcPr>
          <w:p>
            <w:pPr>
              <w:spacing w:before="20" w:after="20"/>
              <w:jc w:val="center"/>
            </w:pPr>
            <w:r>
              <w:rPr>
                <w:rFonts w:ascii="Times New Roman" w:hAnsi="Times New Roman" w:eastAsia="宋体"/>
                <w:sz w:val="18"/>
              </w:rPr>
              <w:t>736 mV</w:t>
            </w:r>
          </w:p>
        </w:tc>
        <w:tc>
          <w:tcPr>
            <w:tcW w:type="dxa" w:w="2041"/>
          </w:tcPr>
          <w:p>
            <w:pPr>
              <w:spacing w:before="20" w:after="20"/>
              <w:jc w:val="center"/>
            </w:pPr>
            <w:r>
              <w:rPr>
                <w:rFonts w:ascii="Times New Roman" w:hAnsi="Times New Roman" w:eastAsia="宋体"/>
                <w:sz w:val="18"/>
              </w:rPr>
              <w:t>762 mV</w:t>
            </w:r>
          </w:p>
        </w:tc>
        <w:tc>
          <w:tcPr>
            <w:tcW w:type="dxa" w:w="2041"/>
          </w:tcPr>
          <w:p>
            <w:pPr>
              <w:spacing w:before="20" w:after="20"/>
              <w:jc w:val="center"/>
            </w:pPr>
            <w:r>
              <w:rPr>
                <w:rFonts w:ascii="Times New Roman" w:hAnsi="Times New Roman" w:eastAsia="宋体"/>
                <w:sz w:val="18"/>
              </w:rPr>
              <w:t>两者一致</w:t>
            </w:r>
          </w:p>
        </w:tc>
      </w:tr>
      <w:tr>
        <w:trPr>
          <w:cantSplit/>
        </w:trPr>
        <w:tc>
          <w:tcPr>
            <w:tcW w:type="dxa" w:w="2041"/>
          </w:tcPr>
          <w:p>
            <w:pPr>
              <w:spacing w:before="20" w:after="20"/>
              <w:jc w:val="center"/>
            </w:pPr>
            <w:r>
              <w:rPr>
                <w:rFonts w:ascii="Times New Roman" w:hAnsi="Times New Roman" w:eastAsia="宋体"/>
                <w:sz w:val="18"/>
              </w:rPr>
              <w:t>316 kHz</w:t>
            </w:r>
          </w:p>
        </w:tc>
        <w:tc>
          <w:tcPr>
            <w:tcW w:type="dxa" w:w="2041"/>
          </w:tcPr>
          <w:p>
            <w:pPr>
              <w:spacing w:before="20" w:after="20"/>
              <w:jc w:val="center"/>
            </w:pPr>
            <w:r>
              <w:rPr>
                <w:rFonts w:ascii="Times New Roman" w:hAnsi="Times New Roman" w:eastAsia="宋体"/>
                <w:sz w:val="18"/>
              </w:rPr>
              <w:t>225 mV</w:t>
            </w:r>
          </w:p>
        </w:tc>
        <w:tc>
          <w:tcPr>
            <w:tcW w:type="dxa" w:w="2041"/>
          </w:tcPr>
          <w:p>
            <w:pPr>
              <w:spacing w:before="20" w:after="20"/>
              <w:jc w:val="center"/>
            </w:pPr>
            <w:r>
              <w:rPr>
                <w:rFonts w:ascii="Times New Roman" w:hAnsi="Times New Roman" w:eastAsia="宋体"/>
                <w:sz w:val="18"/>
              </w:rPr>
              <w:t>326 mV</w:t>
            </w:r>
          </w:p>
        </w:tc>
        <w:tc>
          <w:tcPr>
            <w:tcW w:type="dxa" w:w="2041"/>
          </w:tcPr>
          <w:p>
            <w:pPr>
              <w:spacing w:before="20" w:after="20"/>
              <w:jc w:val="center"/>
            </w:pPr>
            <w:r>
              <w:rPr>
                <w:rFonts w:ascii="Times New Roman" w:hAnsi="Times New Roman" w:eastAsia="宋体"/>
                <w:sz w:val="18"/>
              </w:rPr>
              <w:t>峰峰值偏高 45%，已被噪声撑住</w:t>
            </w:r>
          </w:p>
        </w:tc>
      </w:tr>
      <w:tr>
        <w:trPr>
          <w:cantSplit/>
        </w:trPr>
        <w:tc>
          <w:tcPr>
            <w:tcW w:type="dxa" w:w="2041"/>
          </w:tcPr>
          <w:p>
            <w:pPr>
              <w:spacing w:before="20" w:after="20"/>
              <w:jc w:val="center"/>
            </w:pPr>
            <w:r>
              <w:rPr>
                <w:rFonts w:ascii="Times New Roman" w:hAnsi="Times New Roman" w:eastAsia="宋体"/>
                <w:sz w:val="18"/>
              </w:rPr>
              <w:t>1 MHz</w:t>
            </w:r>
          </w:p>
        </w:tc>
        <w:tc>
          <w:tcPr>
            <w:tcW w:type="dxa" w:w="2041"/>
          </w:tcPr>
          <w:p>
            <w:pPr>
              <w:spacing w:before="20" w:after="20"/>
              <w:jc w:val="center"/>
            </w:pPr>
            <w:r>
              <w:rPr>
                <w:rFonts w:ascii="Times New Roman" w:hAnsi="Times New Roman" w:eastAsia="宋体"/>
                <w:sz w:val="18"/>
              </w:rPr>
              <w:t>82 mV</w:t>
            </w:r>
          </w:p>
        </w:tc>
        <w:tc>
          <w:tcPr>
            <w:tcW w:type="dxa" w:w="2041"/>
          </w:tcPr>
          <w:p>
            <w:pPr>
              <w:spacing w:before="20" w:after="20"/>
              <w:jc w:val="center"/>
            </w:pPr>
            <w:r>
              <w:rPr>
                <w:rFonts w:ascii="Times New Roman" w:hAnsi="Times New Roman" w:eastAsia="宋体"/>
                <w:sz w:val="18"/>
              </w:rPr>
              <w:t>363 mV</w:t>
            </w:r>
          </w:p>
        </w:tc>
        <w:tc>
          <w:tcPr>
            <w:tcW w:type="dxa" w:w="2041"/>
          </w:tcPr>
          <w:p>
            <w:pPr>
              <w:spacing w:before="20" w:after="20"/>
              <w:jc w:val="center"/>
            </w:pPr>
            <w:r>
              <w:rPr>
                <w:rFonts w:ascii="Times New Roman" w:hAnsi="Times New Roman" w:eastAsia="宋体"/>
                <w:sz w:val="18"/>
              </w:rPr>
              <w:t>峰峰值完全失效</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316kHz 那一行值得单独说明：峰峰值读 326mV，而锁相读 225mV，</w:t>
      </w:r>
      <w:r>
        <w:rPr>
          <w:rFonts w:ascii="Times New Roman" w:hAnsi="Times New Roman" w:eastAsia="宋体"/>
          <w:sz w:val="24"/>
          <w:b/>
        </w:rPr>
        <w:t xml:space="preserve">峰峰值是偏高的</w:t>
      </w:r>
      <w:r>
        <w:rPr>
          <w:rFonts w:ascii="Times New Roman" w:hAnsi="Times New Roman" w:eastAsia="宋体"/>
          <w:sz w:val="24"/>
        </w:rPr>
        <w:t xml:space="preserve">。原因是信号已经降到噪声本底以下，峰峰值统计的是「最大值减最小值」，噪声的起伏会被当成信号记入，于是读数停在本底附近不再下降。这正是「读数看起来正常、实际已经无效」的情形 —— 也是为什么需要一条独立量程来互相印证。本作品的两条通路在此形成互补：峰峰值在 300kHz 附近失效，锁相可续至 1MHz。</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3.5.6 工程说明</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本项功能</w:t>
      </w:r>
      <w:r>
        <w:rPr>
          <w:rFonts w:ascii="Times New Roman" w:hAnsi="Times New Roman" w:eastAsia="宋体"/>
          <w:sz w:val="24"/>
          <w:b/>
        </w:rPr>
        <w:t xml:space="preserve">未新增任何 FPGA 逻辑</w:t>
      </w:r>
      <w:r>
        <w:rPr>
          <w:rFonts w:ascii="Times New Roman" w:hAnsi="Times New Roman" w:eastAsia="宋体"/>
          <w:sz w:val="24"/>
        </w:rPr>
        <w:t xml:space="preserve">，RTL 与比特流与 3.3 节所述完全一致。信号源、频率设定、幅度测量、锁相解调全部复用既有命令（0x85、0x8B、0x9A、0x9B）与既有时基通路；扫频流程、两遍归一化、拟合与绘图均由上位机完成。</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这意味着被测对象可以更换而流程不变：换成 RC 高通、LC 谐振、运放幅频特性，只需重新插线并重跑同一条脚本。方法学与被测件无关，这是本作品从「自测装置」走向「测量仪器」的关键一步。</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3.6 工具版本与复现性说明</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本作品的全部综合、实现与上板验证均在 </w:t>
      </w:r>
      <w:r>
        <w:rPr>
          <w:rFonts w:ascii="Times New Roman" w:hAnsi="Times New Roman" w:eastAsia="宋体"/>
          <w:sz w:val="24"/>
          <w:b/>
        </w:rPr>
        <w:t xml:space="preserve">Vivado 2020.2</w:t>
      </w:r>
      <w:r>
        <w:rPr>
          <w:rFonts w:ascii="Times New Roman" w:hAnsi="Times New Roman" w:eastAsia="宋体"/>
          <w:sz w:val="24"/>
        </w:rPr>
        <w:t xml:space="preserve"> 下完成，与赛道指南推荐的 2026.1 / 2025.2 不同。此处按指南「如使用其他版本需在报告中说明并保证脚本可复现」的要求，说明版本选择的原因、影响范围与复现方式。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选择 2020.2 的原因是实验室授权环境固定：本队所在实验室的器件授权与教学镜像统一在该版本，更换需重新申请授权并重装工具链，在作品周期内不具备可行性。需要说明的是，这一选择</w:t>
      </w:r>
      <w:r>
        <w:rPr>
          <w:rFonts w:ascii="Times New Roman" w:hAnsi="Times New Roman" w:eastAsia="宋体"/>
          <w:sz w:val="24"/>
          <w:b/>
        </w:rPr>
        <w:t xml:space="preserve">只影响工程的打开与实现流程，不改变任何设计内容</w:t>
      </w:r>
      <w:r>
        <w:rPr>
          <w:rFonts w:ascii="Times New Roman" w:hAnsi="Times New Roman" w:eastAsia="宋体"/>
          <w:sz w:val="24"/>
        </w:rPr>
        <w:t xml:space="preserve"> —— 全部 RTL 限于 IEEE 1364-2001 可综合子集，未使用任何版本相关的专有原语或 IP 封装宏；三个 IP（xfft、blk_mem_gen_0/1）均为标准 LogiCORE，工程文件与 Tcl 重建脚本随源码一并提交。</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跨版本复现方式：build/create_project.tcl 为从零重建脚本，依次完成建工程（xc7a35tfgg484-2）、拷贝 RTL 并重写 $readmemh 绝对路径、加载约束、重建三个 IP，在新版本上执行该脚本即可得到等价工程。已知差异集中在两点：其一，IP 重新生成后综合报告中的触发器与 LUT 计数可能与本文存在个位数百分比偏差；其二，时序收敛余量随版本波动，本文的 WNS +0.613ns 为 2020.2 下的实测值，换版本后应重新查看实现报告的 _timing_summary_routed.rpt，不宜直接沿用。</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需强调的是，本作品不依赖任何版本专有特性：未使用 AI Engine、未使用 Versal 相关原语、未调用需要特定版本的 HLS 流程。工程的全部可综合性来自标准 RTL —— 这一点在 sim/board_elab/run_board_elab.bat 的顶层展开检查中已逐模块确认，在任何支持 7 Series 的 Vivado 版本上都可完成 elaborate。</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资源层面的结论同样不依赖版本：「自研 FFT 核约为厂商 IP 核三分之一」这一比例关系，是两个核在同一版本、同一口径下比较得出的，属于同版本内的相对量；若需对外引用绝对值，应按目标版本重测后更新。</w:t>
      </w:r>
    </w:p>
    <w:p w14:paraId="0E7BA01D">
      <w:pPr>
        <w:spacing w:line="360" w:lineRule="auto"/>
        <w:rPr>
          <w:rFonts w:ascii="Times New Roman" w:hAnsi="Times New Roman" w:eastAsia="宋体" w:cs="Times New Roman"/>
          <w:b/>
          <w:sz w:val="28"/>
        </w:rPr>
      </w:pPr>
    </w:p>
    <w:p w14:paraId="37BA305C">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第四部分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总结</w:t>
      </w:r>
    </w:p>
    <w:p w14:paraId="7CDDF942">
      <w:pPr>
        <w:pStyle w:val="12"/>
        <w:numPr>
          <w:ilvl w:val="0"/>
          <w:numId w:val="2"/>
        </w:numPr>
        <w:spacing w:line="360" w:lineRule="auto"/>
        <w:ind w:firstLineChars="0"/>
        <w:rPr>
          <w:rFonts w:ascii="Times New Roman" w:hAnsi="Times New Roman" w:eastAsia="宋体" w:cs="Times New Roman"/>
          <w:vanish/>
          <w:sz w:val="24"/>
        </w:rPr>
      </w:pPr>
    </w:p>
    <w:p w14:paraId="6AB04FE3">
      <w:pPr>
        <w:pStyle w:val="12"/>
        <w:numPr>
          <w:ilvl w:val="0"/>
          <w:numId w:val="2"/>
        </w:numPr>
        <w:spacing w:line="360" w:lineRule="auto"/>
        <w:ind w:firstLineChars="0"/>
        <w:rPr>
          <w:rFonts w:ascii="Times New Roman" w:hAnsi="Times New Roman" w:eastAsia="宋体" w:cs="Times New Roman"/>
          <w:vanish/>
          <w:sz w:val="24"/>
        </w:rPr>
      </w:pP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4.1 可扩展之处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（1）提高频谱分辨率。当前高频档受 1024 点限制，T4 下 Δf 达 12.2kHz；若把点数提到 4096，在同样带宽下分辨率可提高 4 倍，代价是块 RAM 与蝶形级数增加。</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（2）扩展测频上限的标定。内部回环受 DDS 模拟带宽（约 5MHz）限制，无法验证更高频率；接外部信号源可把 5~12.5MHz 这一段标出来。</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（3）增加抗混叠前端。当前混叠只能靠主机侧标注，加一级模拟低通可从根本上抑制。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（4）接入传感器前端。预留运放与滤波接口后，可直接测量振动、音频等非电量信号。</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4.2 心得体会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这个项目上最花时间的不是把功能做出来，而是确认做出来的东西是对的。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第一版综合报告显示 LUT 占用超过 100%，无法布线。查下来不是功能太多，而是波形缓存那块 RAM 的读口带了异步复位，Vivado 因此放弃块 RAM 推断，把 32768 个存储位全部铺成触发器，单这一项就吃掉 86% 的 LUT。把读写口拆成两个不带复位的 always 块后，资源降到原来的四分之一。这件事让我明白：资源数字要看实现报告和原语类型，不能看综合估计，更不能凭感觉。</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第二件是同一个坑又踩了一次。谱平均的累加存储器同样因为写在带异步复位的 always 块里退化成12597 个触发器，把整片 LUT 从 35.9% 推到 53%。两次都是同一个原因，说明第一次并没有真正弄懂，只是把那一处改对了。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三件事关于“测出来是对的”和“实际是对的”之间的距离。有两项功能（自适应选窗与谱平均）代码写了、协议里有、上位机有按钮，实测却完全没反应——原因是指令译码模块的实例化漏接了两个端口，Verilog 把未连接的输入当作无驱动网络，综合器一句警告都没有。功能从写成那天起就没运行过。发现它靠的是逐条发命令看回报有没有变化，而不是读代码。</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还有一次是关于噪声平均的认识。我原本以为 8 帧平均能把底噪压低约 4.5dB，实测却几乎不动。查过之后才清楚：对随机噪声做平均，均值是无偏的、不变，变的只是方差。文档里那句话是错的，现在已经改掉。类似地，自研 FFT 的第三峰在基频超过 5kHz 后会混叠折叠成一个看起来很合理的错值，而不是报零或乱跳——这种情况如果不做上板逐点扫频，是想象不到的。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方法上收获最大的是把仿真模型做到与 RTL 逐字一致：同样的整数加窗、同样的 L1 取模、同样的三趟扫描与峰值门限。模型能复现板上的错误读数时，定位就不是猜了。这个模型后来直接用来验证插值和窗系数的对齐，省下了大量盲试的时间。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最后是取舍。原计划还要做 4096 点自研 FFT，评估后放弃了：插值已经把频率误差压到 0.1%，再增加点数的收益远小于代价。把有限的时间放在把已有功能做扎实、把每个数字都验证过，比多加一个功能更有意义。</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传感器前端的处理则走了另一条路。早期用麦克风模块接入时，读数长期停在 1500mV 不动，一开始怀疑算法，实测后才发现是增益档选得过高（60dB），信号本身已经贴着模块的输出上限。把增益降到 50dB 后读数回到 500mV，但此时信噪比又不足以体现锁相的作用。最终没有继续堆前端电路，而是改用一个更干净的实验替代 —— 用外部音源做频率扫描，直接测出锁相的选择性曲线（3.3 节第（10b）项）。这条路不需要改任何硬件，却把"只认一个频率"这个抽象说法变成了一条可看的曲线。</w:t>
      </w:r>
    </w:p>
    <w:p w14:paraId="6478BB8F">
      <w:pPr>
        <w:spacing w:line="360" w:lineRule="auto"/>
        <w:rPr>
          <w:rFonts w:ascii="Times New Roman" w:hAnsi="Times New Roman" w:eastAsia="宋体" w:cs="Times New Roman"/>
          <w:sz w:val="24"/>
        </w:rPr>
      </w:pPr>
    </w:p>
    <w:p w14:paraId="06C04D7F">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第五部分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参考文献</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 Xilinx Inc. Vivado Design Suite User Guide: Synthesis (UG901)[M]. San Jose: Xilinx Inc., 2020.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 Xilinx Inc. 7 Series FPGAs Memory Resources User Guide (UG473)[M]. San Jose: Xilinx Inc., 2019.</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 Xilinx Inc. LogiCORE IP Fast Fourier Transform v9.1 Product Guide (PG109)[M]. Xilinx Inc., 2020.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 Xilinx Inc. 7 Series FPGAs Data Sheet: Overview (DS180)[M]. San Jose: Xilinx Inc., 2018.</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 Analog Devices Inc. AD9280 8-Bit, 32 MSPS Analog-to-Digital Converter Datasheet[Z]. 2000.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 Analog Devices Inc. AD9708 8-Bit, 125 MSPS TxDAC Digital-to-Analog Converter Datasheet[Z]. 1999.</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 Cooley J W, Tukey J W. An Algorithm for the Machine Calculation of Complex Fourier Series[J]. Mathematics of Computation, 1965, 19(90): 297-301.</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 Oppenheim A V, Schafer R W. Discrete-Time Signal Processing[M]. 3rd ed. Pearson, 2010.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 Harris F J. On the Use of Windows for Harmonic Analysis with the Discrete Fourier Transform[J]. Proceedings of the IEEE, 1978, 66(1): 51-83.</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 Grandke T. Interpolation Algorithms for Discrete Fourier Transforms of Weighted Signals[J]. IEEE Transactions on Instrumentation and Measurement, 1983, 32(2): 350-355.</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[11] Smith S W. The Scientist and Engineer's Guide to Digital Signal Processing[M]. California Technical Publishing, 1997.</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[12] Wakerly J F. Digital Design: Principles and Practices[M]. 4th ed. Pearson, 2005.</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[13] Chu P P. FPGA Prototyping by Verilog Examples[M]. Wiley-IEEE Press, 2008.</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[14] Maxfield C. The Design Warrior's Guide to FPGAs[M]. Newnes, 2004.</w:t>
      </w:r>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36385704"/>
      <w:docPartObj>
        <w:docPartGallery w:val="AutoText"/>
      </w:docPartObj>
    </w:sdtPr>
    <w:sdtEndPr>
      <w:rPr>
        <w:lang w:val="zh-CN"/>
      </w:rPr>
    </w:sdtEndPr>
    <w:sdtContent>
      <w:p w14:paraId="1D1EEA7C">
        <w:pPr>
          <w:pStyle w:val="5"/>
          <w:jc w:val="center"/>
          <w:rPr>
            <w:rFonts w:hint="eastAsia"/>
          </w:rPr>
        </w:pPr>
        <w:r>
          <w:fldChar w:fldCharType="begin"/>
        </w:r>
        <w:r>
          <w:instrText xml:space="preserve"> PAGE   \* MERGEFORMAT </w:instrText>
        </w:r>
        <w:r>
          <w:fldChar w:fldCharType="separate"/>
        </w:r>
        <w:r>
          <w:rPr>
            <w:lang w:val="zh-CN"/>
          </w:rPr>
          <w:t>3</w:t>
        </w:r>
        <w:r>
          <w:rPr>
            <w:lang w:val="zh-CN"/>
          </w:rPr>
          <w:fldChar w:fldCharType="end"/>
        </w:r>
      </w:p>
      <w:p w14:paraId="46165DA1">
        <w:pPr>
          <w:pStyle w:val="5"/>
          <w:rPr>
            <w:rFonts w:hint="eastAsia"/>
          </w:rP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DA5A5">
    <w:pPr>
      <w:pStyle w:val="5"/>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B5B240">
    <w:pPr>
      <w:pStyle w:val="5"/>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9FB1A0">
    <w:pPr>
      <w:pStyle w:val="6"/>
      <w:rPr>
        <w:rFonts w:hint="eastAsia"/>
      </w:rPr>
    </w:pPr>
    <w:r>
      <w:rPr>
        <w:rFonts w:hint="eastAsia"/>
      </w:rPr>
      <w:drawing>
        <wp:inline distT="0" distB="0" distL="0" distR="0">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01BA01">
    <w:pPr>
      <w:pStyle w:val="6"/>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6FC67">
    <w:pPr>
      <w:pStyle w:val="6"/>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A462133"/>
    <w:multiLevelType w:val="multilevel"/>
    <w:tmpl w:val="1A462133"/>
    <w:lvl w:ilvl="0" w:tentative="0">
      <w:start w:val="3"/>
      <w:numFmt w:val="decimal"/>
      <w:lvlText w:val="%1"/>
      <w:lvlJc w:val="left"/>
      <w:pPr>
        <w:ind w:left="360" w:hanging="360" w:firstLineChars="200"/>
      </w:pPr>
      <w:rPr>
        <w:rFonts w:hint="default"/>
      </w:rPr>
    </w:lvl>
    <w:lvl w:ilvl="1" w:tentative="0">
      <w:start w:val="1"/>
      <w:numFmt w:val="decimal"/>
      <w:lvlText w:val="%1.%2"/>
      <w:lvlJc w:val="left"/>
      <w:pPr>
        <w:ind w:left="360" w:hanging="360" w:firstLineChars="2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
    <w:nsid w:val="21E90FAC"/>
    <w:multiLevelType w:val="multilevel"/>
    <w:tmpl w:val="21E90FAC"/>
    <w:lvl w:ilvl="0" w:tentative="0">
      <w:start w:val="1"/>
      <w:numFmt w:val="decimal"/>
      <w:lvlText w:val="%1"/>
      <w:lvlJc w:val="left"/>
      <w:pPr>
        <w:ind w:left="420" w:hanging="420" w:firstLineChars="200"/>
      </w:pPr>
      <w:rPr>
        <w:rFonts w:hint="default"/>
      </w:rPr>
    </w:lvl>
    <w:lvl w:ilvl="1" w:tentative="0">
      <w:start w:val="1"/>
      <w:numFmt w:val="decimal"/>
      <w:lvlText w:val="%1.%2"/>
      <w:lvlJc w:val="left"/>
      <w:pPr>
        <w:ind w:left="420" w:hanging="420" w:firstLineChars="2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2">
    <w:nsid w:val="2A5F37ED"/>
    <w:multiLevelType w:val="multilevel"/>
    <w:tmpl w:val="2A5F37ED"/>
    <w:lvl w:ilvl="0" w:tentative="0">
      <w:start w:val="4"/>
      <w:numFmt w:val="decimal"/>
      <w:lvlText w:val="%1"/>
      <w:lvlJc w:val="left"/>
      <w:pPr>
        <w:ind w:left="360" w:hanging="360"/>
      </w:pPr>
      <w:rPr>
        <w:rFonts w:hint="default"/>
      </w:rPr>
    </w:lvl>
    <w:lvl w:ilvl="1" w:tentative="0">
      <w:start w:val="1"/>
      <w:numFmt w:val="decimal"/>
      <w:lvlText w:val="%1.%2"/>
      <w:lvlJc w:val="left"/>
      <w:pPr>
        <w:ind w:left="360" w:hanging="360" w:firstLineChars="2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E1E"/>
    <w:rsid w:val="000039E8"/>
    <w:rsid w:val="000255DE"/>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8C4E92"/>
    <w:rsid w:val="008E493E"/>
    <w:rsid w:val="008F2DB5"/>
    <w:rsid w:val="00906A75"/>
    <w:rsid w:val="00A20197"/>
    <w:rsid w:val="00A879D4"/>
    <w:rsid w:val="00AC487C"/>
    <w:rsid w:val="00AD0A11"/>
    <w:rsid w:val="00AD6FC7"/>
    <w:rsid w:val="00B1303F"/>
    <w:rsid w:val="00B305C7"/>
    <w:rsid w:val="00BA28F9"/>
    <w:rsid w:val="00BE5959"/>
    <w:rsid w:val="00C24273"/>
    <w:rsid w:val="00C91281"/>
    <w:rsid w:val="00D0540C"/>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eastAsia="宋体" w:ascii="Times New Roman" w:hAnsi="Times New Roman"/>
      <w:kern w:val="2"/>
      <w:sz w:val="21"/>
      <w:szCs w:val="22"/>
      <w:lang w:val="en-US" w:eastAsia="zh-CN" w:bidi="ar-SA"/>
    </w:rPr>
  </w:style>
  <w:style w:type="paragraph" w:styleId="2">
    <w:name w:val="heading 1"/>
    <w:basedOn w:val="1"/>
    <w:next w:val="1"/>
    <w:link w:val="13"/>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8">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4">
    <w:name w:val="Balloon Text"/>
    <w:basedOn w:val="1"/>
    <w:link w:val="14"/>
    <w:semiHidden/>
    <w:unhideWhenUsed/>
    <w:uiPriority w:val="99"/>
    <w:rPr>
      <w:sz w:val="18"/>
      <w:szCs w:val="18"/>
    </w:rPr>
  </w:style>
  <w:style w:type="paragraph" w:styleId="5">
    <w:name w:val="footer"/>
    <w:basedOn w:val="1"/>
    <w:link w:val="10"/>
    <w:unhideWhenUsed/>
    <w:uiPriority w:val="99"/>
    <w:pPr>
      <w:tabs>
        <w:tab w:val="center" w:pos="4153"/>
        <w:tab w:val="right" w:pos="8306"/>
      </w:tabs>
      <w:snapToGrid w:val="0"/>
      <w:jc w:val="left"/>
    </w:pPr>
    <w:rPr>
      <w:sz w:val="18"/>
      <w:szCs w:val="18"/>
    </w:rPr>
  </w:style>
  <w:style w:type="paragraph" w:styleId="6">
    <w:name w:val="header"/>
    <w:basedOn w:val="1"/>
    <w:link w:val="11"/>
    <w:unhideWhenUsed/>
    <w:uiPriority w:val="99"/>
    <w:pPr>
      <w:pBdr>
        <w:bottom w:val="single" w:color="auto" w:sz="6" w:space="1"/>
      </w:pBdr>
      <w:tabs>
        <w:tab w:val="center" w:pos="4153"/>
        <w:tab w:val="right" w:pos="8306"/>
      </w:tabs>
      <w:snapToGrid w:val="0"/>
      <w:jc w:val="center"/>
    </w:pPr>
    <w:rPr>
      <w:sz w:val="18"/>
      <w:szCs w:val="18"/>
    </w:rPr>
  </w:style>
  <w:style w:type="character" w:customStyle="1" w:styleId="9">
    <w:name w:val="标题 2 字符"/>
    <w:basedOn w:val="8"/>
    <w:link w:val="3"/>
    <w:uiPriority w:val="9"/>
    <w:rPr>
      <w:rFonts w:asciiTheme="majorHAnsi" w:hAnsiTheme="majorHAnsi" w:eastAsiaTheme="majorEastAsia" w:cstheme="majorBidi"/>
      <w:b/>
      <w:bCs/>
      <w:sz w:val="32"/>
      <w:szCs w:val="32"/>
    </w:rPr>
  </w:style>
  <w:style w:type="character" w:customStyle="1" w:styleId="10">
    <w:name w:val="页脚 字符"/>
    <w:basedOn w:val="8"/>
    <w:link w:val="5"/>
    <w:uiPriority w:val="99"/>
    <w:rPr>
      <w:sz w:val="18"/>
      <w:szCs w:val="18"/>
    </w:rPr>
  </w:style>
  <w:style w:type="character" w:customStyle="1" w:styleId="11">
    <w:name w:val="页眉 字符"/>
    <w:basedOn w:val="8"/>
    <w:link w:val="6"/>
    <w:uiPriority w:val="99"/>
    <w:rPr>
      <w:sz w:val="18"/>
      <w:szCs w:val="18"/>
    </w:rPr>
  </w:style>
  <w:style w:type="paragraph" w:styleId="12">
    <w:name w:val="List Paragraph"/>
    <w:basedOn w:val="1"/>
    <w:qFormat/>
    <w:uiPriority w:val="34"/>
    <w:pPr>
      <w:ind w:firstLine="420" w:firstLineChars="200"/>
    </w:pPr>
  </w:style>
  <w:style w:type="character" w:customStyle="1" w:styleId="13">
    <w:name w:val="标题 1 字符"/>
    <w:basedOn w:val="8"/>
    <w:link w:val="2"/>
    <w:uiPriority w:val="9"/>
    <w:rPr>
      <w:b/>
      <w:bCs/>
      <w:kern w:val="44"/>
      <w:sz w:val="44"/>
      <w:szCs w:val="44"/>
    </w:rPr>
  </w:style>
  <w:style w:type="character" w:customStyle="1" w:styleId="14">
    <w:name w:val="批注框文本 字符"/>
    <w:basedOn w:val="8"/>
    <w:link w:val="4"/>
    <w:semiHidden/>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626</Words>
  <Characters>686</Characters>
  <Lines>37</Lines>
  <Paragraphs>45</Paragraphs>
  <TotalTime>6</TotalTime>
  <ScaleCrop>false</ScaleCrop>
  <LinksUpToDate>false</LinksUpToDate>
  <CharactersWithSpaces>710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2025-07-02T16:39:00Z</dcterms:created>
  <dc:creator>平芜春烬</dc:creator>
  <cp:lastModifiedBy>xh</cp:lastModifiedBy>
  <dcterms:modified xsi:type="dcterms:W3CDTF">2025-10-14T06:21:24Z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BE73846F3CC94C62BFAFB10A1F26DFAF_13</vt:lpwstr>
  </property>
</Properties>
</file>