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系统覆盖九类功能、十六项特性：1Hz~12.5MHz 信号源（分辨率 0.0116Hz，含双音）；100Hz~1MHz 频率测量（误差&lt;1%）及峰峰值、占空比、脉宽；自研 1024 点 FFT 与厂商 4096 点 IP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7891（37.94%）、FF 7082（17.02%）、BRAM 12（24.00%）、DSP 40（44.44%），50MHz 下 WNS +0.677ns、零失败端点。自研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波形识别用规则法与神经网络两条通路，强项互补：规则法方波可至 400kHz，神经网络正弦 400kHz、三角 200kHz。0x96 支持强制单路或自动选源，自动模式按「一致采信、一方不确定则信另一方、分歧时按频率仲裁」三层判据决策，1kHz~200kHz 三波形 18 组全对。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−18.8dB（信号功率仅为噪声的 1/76）时，常规峰峰值读数偏离真值 12 倍，锁相仍以 0.8%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时基四档，T3/T4 为高频频谱档，频谱最高观测 6.25MHz；波形帧固定 50kHz 采样。通信为 UART 460800-8N1，协议 v1.24 共 28 条命令；固件已固化至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pageBreakBefore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1.1 功能与特性 ················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1.2 应用领域 ··················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1.3 主要技术特点 ··············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1.4 主要性能指标 ··············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1.5 主要创新点 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1.6 设计流程 ··················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13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13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15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15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15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17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19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19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20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第五部分  参考文献 ·············· 21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（3）频谱：自研 1024 点 FFT 与厂商 4096 点 IP FFT 两条通路。自研含 Hann 窗与抛物线插值，输出基波与 3、5 次谐波，覆盖 0~6.25MHz；IP 通路服务 0~25kHz。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（5）二次开发：串口协议公开（v1.24，28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（1）两条 FFT 通路分工覆盖。自研 1024 点核覆盖 0~6.25MHz 全频段；厂商 4096 点 IP 核实测在抽取比低于 100 时无法完成一帧，故服务 0~25kHz。两者不在同一频段，是分工而非等价替换。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−18.8dB 下幅度误差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37.94% / FF 17.02% / BRAM 24.00% / DSP 44.44%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+0.677ns，0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v1.24，28 条命令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（1）关键算法均有双实现并各自给出边界：频谱对浮点金标准（RMSE 1.24×10⁻³），识别用规则法对神经网络，测频用闸门法对测周法。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（4）低代价功能扩展：九类功能在同一引擎上扩展，未新增乘法器与块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内部按功能划分为八个功能块：命令解码、信号发生、ADC 采集、参数测量、触发与波形缓存、FFT（IP 与自研两路）、频谱帧与识别、串口收发，共对应 37 个子模块。上位机负责发送命令、显示波形与频谱，不参与任何测量运算。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各模块与 FPGA 的连接关系如下。箭头方向表示信号流向，标注为关键信号线名。需要说明的是，本作品使用成品 FPGA 开发板，未自行绘制 PCB 与原理图，因此本图给出的是接口级连接关系，而非 SCH 原理图。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w_i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硬件接口连接示意（成品开发板，未自行绘制 PCB）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2-4  软件分层架构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38 个 Verilog 源文件（顶层 board_top 加 37 个子模块），顶层只负责互连与时钟分配，不含运算逻辑。上位机为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本节按数据流顺序给出各模块的流程与关键输入输出变量。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（0）命令解码：串口收到字节后先查帧头 5A A5，再累计长度、比对校验和，校验通过才分发。参数类命令写入寄存器，脉冲类命令只置一拍标志，静默类命令（0x8A/0x8B/0x8D/0x8E）不返回 ACK，上位机只能靠可观察量判断。校验失败的帧整帧丢弃，不产生任何副作用。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698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cm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698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2-5  命令解码流程与关键变量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d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2-6  信号发生流程与关键变量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895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ad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895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2-7  采集与抽取流程及关键变量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位、流水线结构，输出峰值频率与幅值。实测该核在抽取比低于 100（即采样率高于 500kHz）时无法完成一帧，故仅用于 0~25kHz 低频段。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304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f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04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2-8  自研 FFT 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0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ock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0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2-9  锁相放大流程与关键变量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28 条命令（含 0x9E/0x9F 调试探针）；上报分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系统实物正面与斜 45° 全局照片如下。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系统实物（正面）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机械工作为接口定义与连线整理：ADC/DAC 排针按信号方向标注，回环跳线固定于板边，避免与按键、电源开关干涉。板卡正面见 3.1 图 3-1，接口布置见 2.2.3 图 2-3。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（8）波形识别。规则法与神经网络始终并行运行。两条实现的强项不同：正弦波神经网络可到400kHz 而规则法在 150kHz 后失效；方波相反，规则法到 400kHz 仍全对；三角波神经网络到200kHz、规则法到 100kHz。低频段两者均为 100%，高频段需按波形择优（选源策略见第 12 条）。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−18.8dB（信号功率仅为噪声的 1/76）：此时常规峰峰值读数 3487mV，而真值仅 290mV，偏离 12 倍，读数已完全不可用；同一时刻锁相给出 288mV，误差 0.8%。在 −0.6dB、−12.8dB 等中间点误差分别为 3.1% 与 1.2%，一致性良好。积分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（12）识别的自动选源。两套分类器在片中并行运行，0x96 可选强制规则法、强制神经网络或自动。自动模式采用三层判据：两法结论一致则直接采信；一方报「不确定」则采信给出具体类型的一方；仅当两者给出不同的具体类型时才按频率仲裁。这样设计是因为频率计在改频后存在滞后，而前两层判据不依赖频率。实测三种波形六个频点（1kHz~200kHz）全部正确，18 组无错，优于任一单独方法。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（13）三条量化对照轴。为回答「每套实现各自到哪为止」，另设三组对照。其一，波形识别：规则法在正弦 150kHz、三角 100kHz 后失效，神经网络在方波 200kHz 后失效，强项互补。其二，测频双方法：10kHz 以上用闸门法，误差即为 100Hz 除以频率（1MHz 时 0.01%）；10kHz 以下用测周法，分辨率 1Hz 但存在约 0.3% 的系统偏差，二者交接点取在误差相当处。其三，定点与浮点 FFT 对照：以 Python 复现 RTL 的定点口径（8 位输入、Q15 旋转因子、逐级右移、L1 模），与 float64 结果逐 bin 相比，归一化 RMSE 为 1.24×10⁻³（−58dB），峰值 bin 在正弦、方波与小幅信号下完全一致。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（14）帧率与资源。幅度谱帧率 21.2 帧/s；整片 LUT 7891（37.94%）、FF 7082（17.02%）、BRAM 12（24.00%）、DSP 40（44.44%），50MHz 下 WNS +0.677ns、WHS +0.056ns，零失败端点。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（15）已知边界。自研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用于低频与高分辨率；T3/T4 为高频频谱档，采样率 6.25MHz 与 12.5MHz，对应频谱范围 3.125MHz 与 6.25MHz。波形帧固定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（16）IP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