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27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（8）波形识别。规则法与神经网络并行运行，0x96 选择上报哪一路。两者失效位置不同：规则法在 1k~50kHz 三分类全对，100kHz 以上三角波报「其他」；神经网络一直对到 100kHz，200kHz 起开始误判。因此低频用规则法（判据可解释），高频切神经网络（性能更好），构成两条实现互相印证，而非一个取代另一个。频率超过 200kHz 时统一报「其他」，不给不可靠结论。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−13dB：此时常规峰峰值读数 3960mV，而真值仅 596mV（偏离 6.6 倍）；锁相给出 583mV，误差 2.1%。积分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（11）锁相放大的可操作性。I/Q 帧回传后由上位机换算幅度与相位并直接显示；积分周期可在 1~4096 之间调整，界面可开关并可单次读取。合成帧校验：给定 66 码、N=800000、相位 45°，界面显示 4796mV 与 45°，与手算一致。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（11）IP 核通路的已知缺陷。IP 4096 点 FFT 上报的主峰 S= 与次峰 A=，在切过 T3/T4 之后可能停止更新，且同一命令序列两次运行结果不一致 —— 属竞争类问题，不是状态机缺复位：计数器复位、判据放宽、采集闸门、等待超时四种修法均已试过，均无效。该核由 IP 生成且未使能复位端口，软件侧无法把它拉回正常态，只能重新配置器件。因此高频观察一律使用自研 FFT 与谱帧通路，这两条在四档下均已验证；S=/A= 定位为 T1/T2 的辅助读数。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