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450679">
      <w:pPr>
        <w:pStyle w:val="3"/>
        <w:spacing w:line="360" w:lineRule="auto"/>
        <w:jc w:val="center"/>
        <w:rPr>
          <w:rFonts w:hint="eastAsia"/>
          <w:sz w:val="36"/>
        </w:rPr>
      </w:pPr>
      <w:bookmarkStart w:id="0" w:name="_GoBack"/>
      <w:bookmarkEnd w:id="0"/>
      <w:r>
        <w:rPr>
          <w:sz w:val="36"/>
        </w:rPr>
        <w:t>WaveCore：基于 FPGA 的多功能信号测量与频谱分析系统</w:t>
      </w:r>
    </w:p>
    <w:p w14:paraId="53FC5F33">
      <w:pPr>
        <w:tabs>
          <w:tab w:val="left" w:pos="6524"/>
        </w:tabs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>摘要</w:t>
      </w:r>
      <w:r>
        <w:rPr>
          <w:rFonts w:ascii="Times New Roman" w:hAnsi="Times New Roman" w:eastAsia="宋体" w:cs="Times New Roman"/>
          <w:b/>
          <w:sz w:val="28"/>
        </w:rPr>
        <w:tab/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WaveCore 是一套“把实验室装进口袋”的多功能信号测量与频谱分析系统，在一颗 AMD Artix-7 XC7A35T 上以纯 RTL 并行实现。它不需要外部示波器或信号源：板内 DDS 产生信号、ADC 采集信号、测量模块给出参数、FFT 完成频谱分析，形成闭环，可独立完成全部功能验证与标定。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系统含六个功能单元：① 信号发生器，32 位 NCO 实现 1Hz~12.5MHz 任意频率、双音与三种波形；② 全参数测量，给出频率（100Hz~1MHz，误差&lt;1%）、峰峰值、占空比与脉宽，采用三层数字抗噪，并以“可信闸门”输出“其他”；③ 频谱分析，厂商 4096 点 FFT 与自研 1024 点 FFT 同板并存；④ 波形捕获，三种触发方式加 0%/25%/50%/75% 预触发；⑤ 512 点幅度谱帧，配合上位机呈现实时频谱与瀑布图；⑥ 时基四档（12.5k~200kHz），兼顾细分辨与宽范围。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自研 FFT 通路独立实现了 Hann 窗与抛物线插值：泄漏由 14.7% 压到 0.9%，根除整数 bin 处的“假峰”；1kHz 读数由 976Hz 修正到 999Hz，误差 2.4%→0.1%。两条通路交叉验证。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系统以 460800-8N1 自定义协议与上位机通信（v1.21，25 条命令），结果分行上行。设计已 Flash 固化、断电自启；LUT 占用 33.96%，时序裕量 +1.607ns，0 布线错误。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验证采用板载“DDS→DAC→回环→ADC→测量→FFT”闭环路径，在无示波器条件下完成全部验证；实测模拟链路 -3dB 带宽大于 1MHz，说明带宽瓶颈在数字抽取比而非模拟前端。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开发采用大模型协作：人负责需求、取舍与上板验证，模型负责起草与审查；沉淀 38 条工程技能包，并以“错误变体仿真→上板复现”的闭环方法定位根因。</w:t>
      </w:r>
    </w:p>
    <w:p w14:paraId="207EC557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A655E1E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第一部分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作品概述</w:t>
      </w:r>
    </w:p>
    <w:p w14:paraId="5DD871A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功能与特性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（1）信号发生器：32 位相位累加器（NCO）配合 256 点正弦查找表，输出频率分辨率 0.0116Hz，范围 1Hz~12.5MHz；支持正弦、方波、三角三种波形与双音合成，可通过预设档位或任意频率命令在线切换。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（2）全参数测量：频率测量在 100Hz~1MHz 范围内误差小于 1%，低频段自动切换测周法；同时给出峰峰值（mV）、占空比与脉宽。测量链路内置三层数字抗噪与窗口级平滑，并对测不准的结果输出“其他”，避免给出错误结论。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（3）频谱分析：厂商 4096 点 FFT 与自研 1024 点 FFT 双通路并存。自研通路具备 Hann 窗与抛物线插值，可给出基波与 3、5 次谐波三个独立谱峰；两条通路结果可直接对照。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（4）波形捕获与触发：1024 点波形帧上传，帧首点即触发点；支持自由、上升沿、下降沿三种触发方式，并可选 0%、25%、50%、75% 四档预触发，从而观察到触发边沿之前的波形。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（5）频谱可视化：512 点幅度谱帧按需上传，上位机据此绘制实时频谱柱状图与瀑布图，配合扫频模式可呈现频率随时间变化的斜线轨迹。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（6）时基档位：12.5k/50k/100k/200kHz 四档等效采样率，频谱覆盖范围相应为 6.25k/25k/50k/100kHz，在“看得细”与“看得宽”之间灵活取舍。</w:t>
      </w:r>
    </w:p>
    <w:p w14:paraId="38423567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5F0789C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应用领域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（1）教学与实验：高校电子类课程中，学生常因缺少示波器、信号源而无法独立完成“信号产生—测量—频谱分析”的完整实验。WaveCore 以一块开发板替代多台仪器，并内置闭环自测路径，使学生可在无仪器条件下完成从时域到频域的全部观测，显著降低实验门槛。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（2）现场快速检测：设备维护与产线调试现场，往往只需确认“有没有信号、频率是多少、波形对不对”。WaveCore 的波形识别与阈值告警能力可在数秒内给出结论，且断电即用，无需携带或配置多台仪器。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（3）嵌入式竞赛与训练：系统完整覆盖 FPGA 开发的典型能力项——时序逻辑设计、跨时钟域处理、存储器接口、算法硬件化、自定义串行协议与上位机协同，可作为数字系统综合训练的载体；其中自研 FFT 与厂商 IP 的同板对照，尤其适合用于“算法自主可控”的教学演示。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仪器原理验证：由于板内可完成信号产生与采集，本系统还可用作仪器原理的自验证平台，例如用板载扫频实测自身模拟链路的幅频特性，用回环方波观察谐波结构，把抽象的傅里叶变换与采样定理变成屏幕上可直接观察的现象。</w:t>
      </w:r>
    </w:p>
    <w:p w14:paraId="5F6A5959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DF29DA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主要技术特点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（1）同板双 FFT 架构。厂商 4096 点 IP 与手写 1024 点 Radix-2 DIF FFT 并行存在，同一信号可同时得到两组频谱读数。自研核额外实现 Hann 窗与抛物线插值，既可作为算法理解与改进的实验台，也为结果提供了交叉验证依据。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（2）可配置时基。波形采集、自研 FFT 与 IP FFT 三条通路共享一个时基档位寄存器，切换档位时三者的抽取比与频率换算同步更新，所有频率读数只引用统一的等效采样率变量，从根本上避免了“改一处、漏一处”的读数错误。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（3）预触发的“锁存 + 回退”实现。采样缓冲改为永不归零的环形结构，触发瞬间锁存写指针，再写满剩余点数后冻结，发送起点按预触发比例回退——无需额外的历史缓冲，且默认 0% 档与升级前行为完全一致。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（4）三层数字抗噪与可信闸门。连续 2 拍确认抑制毛刺、施密特双阈值迟滞抑制假穿越、5 点中值滤波抑制单点干扰，窗口级再做 3 窗中值；当置信度不足时输出“其他”，体现“宁可不说，也不说错”的设计取向。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（5）无仪器闭环验证。全部读数均可在板内自产自测，并通过 PC 端独立解析交叉验证，使开发在缺少仪器的情况下依然可以量化和复现。</w:t>
      </w:r>
    </w:p>
    <w:p w14:paraId="6955DAA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DB2A7C4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主要性能指标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12"/>
          <w:bottom w:val="single" w:sz="12"/>
          <w:left w:val="none"/>
          <w:right w:val="none"/>
          <w:insideH w:val="none"/>
          <w:insideV w:val="none"/>
        </w:tblBorders>
        <w:tblLayout w:type="fixed"/>
      </w:tblPr>
      <w:tblGrid>
        <w:gridCol w:w="2076"/>
        <w:gridCol w:w="2076"/>
        <w:gridCol w:w="2076"/>
        <w:gridCol w:w="2076"/>
      </w:tblGrid>
      <w:tr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项目</w:t>
            </w:r>
          </w:p>
        </w:tc>
        <w:tc>
          <w:tcPr>
            <w:tcW w:type="dxa" w:w="2041"/>
            <w:tcBorders>
              <w:bottom w:val="single" w:sz="6"/>
            </w:tcBorders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b/>
                <w:sz w:val="18"/>
              </w:rPr>
              <w:t>指标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信号源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1Hz~12.5MHz 任意频 / 双音 / 三种波形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频率测量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100Hz~1MHz，误差 &lt;1%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占空比/脉宽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方波 D≈50%、W=半周期（1k~1M 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频谱分析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IP 4096 点 + 自研 1024 点（Δf 12.2/48.8Hz）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时基档位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四档：12.5k / 50k / 100k / 200kHz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频率精度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抛物线插值后 1kHz 报 999Hz（0.1%）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预触发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0% / 25% / 50% / 75%（上板逐点精确）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幅度谱帧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512 bin / 518B / 11.2ms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模拟带宽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-3dB 带宽 &gt; 1MHz（1MHz 处 −0.06dB）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通信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UART 460800-8N1，协议 v1.21（25 条命令）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资源占用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LUT 33.96% / FF 17.68% / DSP 38.89%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时序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WNS +1.607ns 全收敛，0 布线错误</w:t>
            </w:r>
          </w:p>
        </w:tc>
      </w:tr>
      <w:tr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交付形态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Flash 固化，断电重启自运行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闭环自测</w:t>
            </w:r>
          </w:p>
        </w:tc>
        <w:tc>
          <w:tcPr>
            <w:tcW w:type="dxa" w:w="2041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 w:eastAsia="宋体"/>
                <w:sz w:val="18"/>
              </w:rPr>
              <w:t>板内 DDS→DAC→回环→ADC→测量→FFT</w:t>
            </w:r>
          </w:p>
        </w:tc>
      </w:tr>
    </w:tbl>
    <w:p w14:paraId="0B350526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0C133C0E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主要创新点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（1）双 FFT 同板对照：以 1/3 于 IP 裸核的资源实现自主 1024 点 FFT，并叠加 Hann 窗与抛物线插值，读数与数值模型逐字一致。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（2）频谱插值：把频率读数由 bin 量化误差（±24Hz）修正到约 ±1Hz，1kHz 实测 999Hz。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（3）可配置时基四档：频谱覆盖 6.25k~100kHz，同一台仪器兼顾细分辨与宽范围。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（4）预触发“锁存+回退”：以极小的逻辑代价（+13 LUT/+29 FF/0 DSP）获得示波器级的触发前观测能力，且默认档与旧版逐位等价。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（5）幅度谱帧与瀑布图：512 点对数压缩谱帧使 PC 端可呈现实时频谱与频率-时间瀑布图。</w:t>
      </w:r>
    </w:p>
    <w:p w14:paraId="12E32CFD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041AA9F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设计流程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开发按“先通链路、再补指标、最后打磨”的分期路线推进，共经历六个里程碑：M1 打通 DDS 信号源与 ROM 查表；M2 完成 DAC 输出并上板确认；M3 实现按键调频与参数仲裁；M4 完成 ADC 采集与回环自测，建立无仪器的验证路径；M5 实现测量套件与自定义串口协议，PC 上位机接入；M6 完成频谱分析（先 IP 后自研）、波形捕获与触发、波形自动识别、扫频与Flash 固化。此后进入优化阶段：先后完成资源攻坚（LUT 由超容降至 30% 量级）、数字抗噪、Hann 窗与抛物线插值、时基档位、幅度谱帧与预触发等改进。每一步都遵循“先离线验证（仿真/数值模型）、后上板复验、再固化”的顺序，并保留一版已知可用的旧固件作为回退。</w:t>
      </w:r>
    </w:p>
    <w:p w14:paraId="1AB43576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E73A12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第二部分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系统组成及功能说明</w:t>
      </w:r>
    </w:p>
    <w:p w14:paraId="26E5C624">
      <w:pPr>
        <w:pStyle w:val="12"/>
        <w:numPr>
          <w:ilvl w:val="0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57EF1670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</w:p>
    <w:p w14:paraId="0A3CABD8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给出系统整体框图，各子模块标注清楚，并进行整体的文字说明，需要表达出各模块之间的关系。</w:t>
      </w:r>
    </w:p>
    <w:p w14:paraId="54993930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</w:p>
    <w:p w14:paraId="1533B75D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硬件系统介绍</w:t>
      </w:r>
    </w:p>
    <w:p w14:paraId="7C0E24DA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2.2.1</w:t>
      </w:r>
      <w:r>
        <w:rPr>
          <w:rFonts w:ascii="Times New Roman" w:hAnsi="Times New Roman" w:eastAsia="宋体" w:cs="Times New Roman"/>
          <w:sz w:val="24"/>
        </w:rPr>
        <w:t xml:space="preserve"> </w:t>
      </w:r>
      <w:r>
        <w:rPr>
          <w:rFonts w:hint="eastAsia" w:ascii="Times New Roman" w:hAnsi="Times New Roman" w:eastAsia="宋体" w:cs="Times New Roman"/>
          <w:sz w:val="24"/>
        </w:rPr>
        <w:t>硬件整体介绍；</w:t>
      </w:r>
    </w:p>
    <w:p w14:paraId="45A8B6A2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2.2.2 机械设计介绍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74732D01">
      <w:pPr>
        <w:spacing w:line="360" w:lineRule="auto"/>
        <w:ind w:firstLine="42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2.2.3 电路各模块介绍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01927C7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6BBED4CC">
      <w:pPr>
        <w:pStyle w:val="12"/>
        <w:numPr>
          <w:ilvl w:val="1"/>
          <w:numId w:val="1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软件系统介绍</w:t>
      </w:r>
    </w:p>
    <w:p w14:paraId="12F68CF3">
      <w:pPr>
        <w:pStyle w:val="12"/>
        <w:spacing w:line="360" w:lineRule="auto"/>
        <w:ind w:left="42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2.3.1 软件整体介绍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系统整体由“信号产生—模拟回环—采集测量—频谱分析—上报传输—PC 可视化”六段构成。FPGA 内部，DDS 模块产生数字波形，经 DAC 输出后由一根飞线直接回接至 ADC 输入，构成板内闭环；ADC 以 25MSPS 持续采样，其数据流同时送往三条支路——测量支路（频率/占空比/脉宽/峰峰值，直接使用未抽取的原始数据流）、波形支路（按当前时基抽取 1024 点）与 FFT 支路（抽取后送入 1024 点与 4096 点两条 FFT 通路）。三条支路的结果经统一的上行帧格式经 UART 发送至 PC 上位机，由上位机完成数值显示与图形呈现。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2.2 硬件系统介绍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2.2.1 硬件整体介绍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硬件平台为正点原子达芬奇Pro 开发板（AMD Artix-7 XC7A35T-2FGG484），搭配高速 AD/DA 模块（AD9280 + AD9708）。系统时钟 50MHz；ADC 采样时钟由 50MHz 二分频得到 25MHz，数据在系统时钟下降沿抓取，跨时钟域稳定。AD/DA 并口、按键、LED 与串口分别位于不同Bank，I/O 电平按 Bank 约束配置（sys_clk/LED/按键为 LVCMOS15，AD/DA 与串口为 LVCMOS33）。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2.2.2 机械设计介绍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本作品为板级 + 模块级实现，无自研机械结构件。系统由开发板、AD/DA 模块与一根短飞线构成，整体置于桌面即可运行；飞线长度控制在数厘米以内，以减小分布参数对高频段的影响。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2.2.3 电路各模块介绍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系统电路由三部分组成：① 核心板，提供 FPGA 与时钟、电源；② AD/DA 模块，DAC 通道接收FPGA 送出的 8 位数字码并转为模拟电压，ADC 通道将输入模拟电压量化为 8 位数字码后送回FPGA；③ 回环通路，将 DAC 输出以短飞线接至 ADC 输入，构成闭环。关键信号线包括：DA 数据线 D[7:0] 与写时钟、AD 数据线 D[7:0] 与 25MHz 采样时钟、以及 UART 的 TX/RX。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2.3 软件系统介绍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2.3.1 软件整体介绍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PC 端软件以 Python 实现，分为两类：一是综合上位机，负责串口连接、命令下发、测量行/谱峰行解析、波形绘制与 CSV 记录；二是若干独立小工具，分别用于频谱与瀑布图显示、频率精度与预触发的板测判读、模拟链路频响测量等。两者共用同一套协议解析库，保证命令拼装与上行解析只有一份实现。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2.3.2 软件各模块介绍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核心模块包括：串口收发线程（含自动重连）、上行帧解析器（区分测量行、谱峰行、波形帧与幅度谱帧）、界面刷新模块与数据记录模块。协议解析库提供命令构造函数（频率、波形、触发、时基、预触发、标定、谱帧请求等）与上行解析函数，并对全部命令帧做校验和自检；工具层则复用该库完成各自的专项测量。</w:t>
      </w:r>
    </w:p>
    <w:p w14:paraId="25729970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387534FB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第三部分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完成情况及性能参数</w:t>
      </w:r>
    </w:p>
    <w:p w14:paraId="037E4C1E">
      <w:pPr>
        <w:spacing w:line="360" w:lineRule="auto"/>
        <w:ind w:firstLine="480" w:firstLineChars="20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阐述最终实现的成果</w:t>
      </w:r>
      <w:r>
        <w:rPr>
          <w:rFonts w:hint="eastAsia" w:ascii="Times New Roman" w:hAnsi="Times New Roman" w:eastAsia="宋体" w:cs="Times New Roman"/>
          <w:color w:val="FF0000"/>
          <w:sz w:val="24"/>
        </w:rPr>
        <w:t>（图文结合，实物照片为主）</w:t>
      </w:r>
    </w:p>
    <w:p w14:paraId="1F3AC097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整体介绍</w:t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2BFB2258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5C615A5E">
      <w:pPr>
        <w:pStyle w:val="12"/>
        <w:numPr>
          <w:ilvl w:val="1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工程成果</w:t>
      </w:r>
    </w:p>
    <w:p w14:paraId="1DD49E2B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3.2.1 机械成果；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00C49F2F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3.2.2 电路成果；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121B6D19">
      <w:pPr>
        <w:pStyle w:val="12"/>
        <w:spacing w:line="360" w:lineRule="auto"/>
        <w:ind w:left="360" w:firstLine="0" w:firstLineChars="0"/>
        <w:rPr>
          <w:rFonts w:ascii="Times New Roman" w:hAnsi="Times New Roman" w:eastAsia="宋体" w:cs="Times New Roman"/>
          <w:color w:val="FF0000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>3.2.3 软件成果；</w:t>
      </w:r>
      <w:r>
        <w:rPr>
          <w:rFonts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sz w:val="24"/>
        </w:rPr>
      </w:r>
      <w:r>
        <w:rPr>
          <w:rFonts w:hint="eastAsia" w:ascii="Times New Roman" w:hAnsi="Times New Roman" w:eastAsia="宋体" w:cs="Times New Roman"/>
          <w:color w:val="FF0000"/>
          <w:sz w:val="24"/>
        </w:rPr>
      </w:r>
    </w:p>
    <w:p w14:paraId="41351334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3.1 整体介绍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系统整机由开发板与 AD/DA 模块组成，上电后即自动运行：默认输出 100kHz 方波，板内完成采集与测量，并通过串口把结果持续送上位机显示。此处给出系统正面与斜 45° 全局照片。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3-1 位置：系统正面全局照片（P1）】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3-2 位置：系统斜 45° 全局照片（P2，可见板卡与屏幕）】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3.2 工程成果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3.2.1 机械成果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本作品无自研机械件，整机以开发板与模块堆叠呈现，无需装配。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3.2.2 电路成果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电路部分由成品开发板与 AD/DA 模块构成，唯一的“自研连接”是 DA→AD 的回环飞线，它使系统具备板内自测能力。下图为板卡重要角度特写与回环飞线特写。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3-3 位置：板卡重要角度高清特写（P3）】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3-4 位置：DA→AD 回环飞线特写（P4，板内闭环的物证）】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40"/>
      </w:pPr>
      <w:r>
        <w:rPr>
          <w:rFonts w:ascii="Times New Roman" w:hAnsi="Times New Roman" w:eastAsia="宋体"/>
          <w:sz w:val="24"/>
          <w:b/>
        </w:rPr>
        <w:t xml:space="preserve">3.2.3 软件成果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上位机主界面以大字显示频率、峰峰值、占空比、脉宽与波形类型，并绘制 1024 点实时波形；频谱工具可显示柱状频谱与瀑布图。下图为两处界面截图。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3-5 位置：上位机主界面截图（P5，含 F/V/D/W/TY 大字）】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3-6 位置：频谱与瀑布图截图（P6，扫频时的斜线轨迹）】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3.3 特性成果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系统各项功能均在板上完成量化验证，主要结果如下：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频率测量：100Hz~1MHz 范围内读数精确，1kHz/10kHz/20kHz 盲测分别命中 999 / 9998 / 19995Hz。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频谱精度：自研 FFT 经抛物线插值后，1kHz 方波三峰实测 999 / 2998 / 4997Hz（真值 1000/3000/5000）。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时基档位：四档全部上板验证，同一 1kHz 信号在四档中的谱峰分别落于 bin 20 / 82 / 10 / 5，与理论一致。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预触发：0%/25%/50%/75% 四档的帧内低电平点数实测 0 / 256 / 512 / 768，与预期**逐点吻合**。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模拟带宽：板载扫频实测 100Hz~1MHz 的峰峰值稳定在 1078~1093mV，1MHz 处仅衰减 0.06dB。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spacing w:line="360" w:lineRule="auto"/>
      </w:pPr>
      <w:r>
        <w:rPr>
          <w:rFonts w:ascii="Times New Roman" w:hAnsi="Times New Roman" w:eastAsia="宋体"/>
          <w:sz w:val="24"/>
        </w:rPr>
        <w:t xml:space="preserve">· 波形识别：≤5kHz 五种场景（正弦/方波/三角/双音/异常）判别全部正确；高频段进入“其他”态，属可信闸门的设计行为。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3-7 位置：频率精度与预触发判读结果截图（P7）】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【图 3-8 位置：模拟链路频响实测曲线（P8）】</w:t>
      </w:r>
    </w:p>
    <w:p w14:paraId="0E7BA01D">
      <w:pPr>
        <w:spacing w:line="360" w:lineRule="auto"/>
        <w:rPr>
          <w:rFonts w:ascii="Times New Roman" w:hAnsi="Times New Roman" w:eastAsia="宋体" w:cs="Times New Roman"/>
          <w:b/>
          <w:sz w:val="28"/>
        </w:rPr>
      </w:pPr>
    </w:p>
    <w:p w14:paraId="37BA305C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第四部分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总结</w:t>
      </w:r>
    </w:p>
    <w:p w14:paraId="7CDDF942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6AB04FE3">
      <w:pPr>
        <w:pStyle w:val="12"/>
        <w:numPr>
          <w:ilvl w:val="0"/>
          <w:numId w:val="2"/>
        </w:numPr>
        <w:spacing w:line="360" w:lineRule="auto"/>
        <w:ind w:firstLineChars="0"/>
        <w:rPr>
          <w:rFonts w:ascii="Times New Roman" w:hAnsi="Times New Roman" w:eastAsia="宋体" w:cs="Times New Roman"/>
          <w:vanish/>
          <w:sz w:val="24"/>
        </w:rPr>
      </w:pPr>
    </w:p>
    <w:p w14:paraId="08F59B7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可扩展之处</w:t>
      </w:r>
    </w:p>
    <w:p w14:paraId="2F847A3F">
      <w:pPr>
        <w:pStyle w:val="12"/>
        <w:numPr>
          <w:ilvl w:val="1"/>
          <w:numId w:val="3"/>
        </w:numPr>
        <w:spacing w:line="360" w:lineRule="auto"/>
        <w:ind w:firstLineChars="0"/>
        <w:rPr>
          <w:rFonts w:ascii="Times New Roman" w:hAnsi="Times New Roman" w:eastAsia="宋体" w:cs="Times New Roman"/>
          <w:sz w:val="24"/>
        </w:rPr>
      </w:pPr>
      <w:r>
        <w:rPr>
          <w:rFonts w:hint="eastAsia" w:ascii="Times New Roman" w:hAnsi="Times New Roman" w:eastAsia="宋体" w:cs="Times New Roman"/>
          <w:sz w:val="24"/>
        </w:rPr>
        <w:t xml:space="preserve">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4.1 可扩展之处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（1）量程扩展：当前峰峰值以数字标定方式给出，若在模拟前端加入可切换衰减网络，可进一步覆盖更大输入范围。（2）带宽扩展：实测模拟链路 -3dB 带宽大于 1MHz，而当前最高时基档位对应 200kHz 采样；在不改动模拟硬件的前提下，继续下调抽取比即可把频谱覆盖扩展到 0.5MHz 量级。（3）频谱分辨率：在资源允许时可把自研 FFT 提升到 4096 点，或引入更精细的插值算法，进一步逼近连续谱。（4）功能外延：可增加阈值告警（LED/蜂鸣）、连续调频、音调识别等演示性功能，也可把谱数据接入第三方串口屏或云端做远程监视。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jc w:val="left"/>
        <w:spacing w:line="360" w:lineRule="auto" w:after="60"/>
      </w:pPr>
      <w:r>
        <w:rPr>
          <w:rFonts w:ascii="Times New Roman" w:hAnsi="Times New Roman" w:eastAsia="宋体"/>
          <w:sz w:val="26"/>
          <w:b/>
        </w:rPr>
        <w:t xml:space="preserve">4.2 心得体会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这个项目最开始只是“参加一个比赛”，最后却变成了一次完整的工程训练。回头看，真正让我成长的并不是写完了多少行 Verilog，而是几次被逼到墙角后的翻盘。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第一个印象最深的是资源问题。设计一度在实现阶段报出 LUT 超容，最多时超过器件容量近 10%。我起初一直以为是“功能加太多”，反复删减功能，收效甚微。后来才定位到真正的元凶：一个 4096 深的数组声明了块 RAM 属性，却因为读口的异步复位让综合器放弃了推断，退化成三万余个触发器和一个巨大的读多路器，独占了全设计绝大部分逻辑资源。改用官方 IP 核之后，同一个功能只用了极小的资源。这件事对我的冲击很大——**“我改的那个东西真的生效了吗”**，比“我改了没有”更重要。从那以后，我养成了改完一处就去报告里核对“它到底变成了什么”的习惯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第二个是自研 FFT 的调试。它跑起来之后读数“稳定但错”，1kHz 被报成 1367Hz。我们试过很多猜测，最后靠的是一种很朴素的办法：假设存在某种错误，把它们分别建模，看哪个假设能“逐字复现”板子上的错误读数。当两组频率下的三峰读数与假设预测完全一致时，根因就定下来了——存储器读延迟比预期多了一拍。这个方法后来成了我的默认动作：**先让错误可复现，再去改代码**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第三个是窗口效应。自研 FFT 一度在 1kHz 正弦上凭空报出一个不存在的峰。我一开始接受了一个“把保护带加宽”的补丁，但心里不踏实，因为那只是让假峰落在保护区里而已。三天后重新追根因，才发现是矩形窗的频谱泄漏：1kHz 正好落在两个频点之间，泄漏刚好越过判决门限。换成 Hann 窗后泄漏从 14.7% 降到 0.9%，假峰彻底消失。这件事让我明白，**压制症状和修复根因是两回事**，前者能交差，后者才能安心。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还有一件事必须承认：整个过程中我借助了大模型。它帮我起草代码、梳理思路、审核文档，但也给过错误建议——比如建议我加约束去“修”一个根本没进块 RAM 的数组，也建议过用加宽保护带来“消除”假峰。真正让项目往前走的是我坚持了两件事：一是**凡是拿不准的就上板实测**，二是**凡是模型说“应该可以”的地方都自己再验一遍**。人与模型的分工，最后稳定成一句话：模型负责穷举可能性，我负责判断和验证。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比赛还没结束，但这段经历已经给了我一个很具体的收获：我学会了在有工具、有助手、但没有人可以替我下结论的情况下，自己把一件事做到底。</w:t>
      </w:r>
    </w:p>
    <w:p w14:paraId="6478BB8F">
      <w:pPr>
        <w:spacing w:line="360" w:lineRule="auto"/>
        <w:rPr>
          <w:rFonts w:ascii="Times New Roman" w:hAnsi="Times New Roman" w:eastAsia="宋体" w:cs="Times New Roman"/>
          <w:sz w:val="24"/>
        </w:rPr>
      </w:pPr>
    </w:p>
    <w:p w14:paraId="06C04D7F">
      <w:pPr>
        <w:spacing w:line="360" w:lineRule="auto"/>
        <w:rPr>
          <w:rFonts w:ascii="Times New Roman" w:hAnsi="Times New Roman" w:eastAsia="宋体" w:cs="Times New Roman"/>
          <w:b/>
          <w:sz w:val="24"/>
        </w:rPr>
      </w:pPr>
      <w:r>
        <w:rPr>
          <w:rFonts w:hint="eastAsia" w:ascii="Times New Roman" w:hAnsi="Times New Roman" w:eastAsia="宋体" w:cs="Times New Roman"/>
          <w:b/>
          <w:sz w:val="28"/>
        </w:rPr>
        <w:t xml:space="preserve">第五部分 </w:t>
      </w:r>
      <w:r>
        <w:rPr>
          <w:rFonts w:ascii="Times New Roman" w:hAnsi="Times New Roman" w:eastAsia="宋体" w:cs="Times New Roman"/>
          <w:b/>
          <w:sz w:val="28"/>
        </w:rPr>
        <w:t xml:space="preserve"> </w:t>
      </w:r>
      <w:r>
        <w:rPr>
          <w:rFonts w:hint="eastAsia" w:ascii="Times New Roman" w:hAnsi="Times New Roman" w:eastAsia="宋体" w:cs="Times New Roman"/>
          <w:b/>
          <w:sz w:val="24"/>
        </w:rPr>
        <w:t>参考文献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[1] Xilinx Inc. Vivado Design Suite User Guide: Synthesis (UG901)[M]. San Jose: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[2] Xilinx Inc. 7 Series FPGAs Memory Resources User Guide (UG473)[M]. San Jose: Xilinx Inc.,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[3] Xilinx Inc. LogiCORE IP Fast Fourier Transform v9.1 Product Guide (PG109)[M]. Xilinx Inc., 2020.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[4] Analog Devices Inc. AD9280 8-Bit, 32 MSPS Analog-to-Digital Converter Datasheet[Z]. 2000.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[5] Analog Devices Inc. AD9708 8-Bit, 125 MSPS TxDAC Digital-to-Analog Converter Datasheet[Z]. 1999.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[6] Cooley J W, Tukey J W. An Algorithm for the Machine Calculation of Complex Fourier Series[J]. Mathematics of Computation, 1965, 19(90): 297-301.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[7] Harris F J. On the Use of Windows for Harmonic Analysis with the Discrete Fourier Transform[J]. Proceedings of the IEEE, 1978, 66(1): 51-83.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[8] Grandke T. Interpolation Algorithms for Discrete Fourier Transforms of Weighted Signals[J]. IEEE Transactions on Instrumentation and Measurement, 1983, 32(2): 350-355.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[9] Smith S W. The Scientist and Engineer's Guide to Digital Signal Processing[M]. San Diego: California Technical Publishing, 1997.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[10] Oppenheim A V, Schafer R W. Discrete-Time Signal Processing[M]. 3rd ed. Upper Saddle River: Prentice Hall, 2010.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[11] Usselmann R. Verilog UART (async serial) implementation[EB/OL]. OpenCores, 2002.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[12] 张明. 基于 FPGA 的时域测量与频谱分析系统设计[D]. 成都: 电子科技大学, 2019.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[13] 李强, 王勇, 赵磊. 基于 FPGA 的数字信号参数测量系统设计[J]. 电子测量技术, 2021, 44(8): 145-149.</w:t>
      </w:r>
    </w:p>
    <w:p w14:paraId="207EC557">
      <w:pPr>
        <w:rPr>
          <w:rFonts w:ascii="Times New Roman" w:hAnsi="Times New Roman" w:eastAsia="宋体" w:cs="Times New Roman"/>
          <w:b/>
          <w:sz w:val="28"/>
        </w:rPr>
        <w:ind w:firstLineChars="200"/>
        <w:spacing w:line="360" w:lineRule="auto"/>
      </w:pPr>
      <w:r>
        <w:rPr>
          <w:rFonts w:ascii="Times New Roman" w:hAnsi="Times New Roman" w:eastAsia="宋体"/>
          <w:sz w:val="24"/>
        </w:rPr>
        <w:t xml:space="preserve">[14] 陈晓东. 数字信号处理算法在 FPGA 中的硬件实现研究[J]. 国外电子测量技术, 2020, 39(6): 112-116.</w:t>
      </w:r>
    </w:p>
    <w:sectPr>
      <w:headerReference r:id="rId5" w:type="first"/>
      <w:footerReference r:id="rId8" w:type="first"/>
      <w:headerReference r:id="rId3" w:type="default"/>
      <w:footerReference r:id="rId6" w:type="default"/>
      <w:headerReference r:id="rId4" w:type="even"/>
      <w:footerReference r:id="rId7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1536385704"/>
      <w:docPartObj>
        <w:docPartGallery w:val="AutoText"/>
      </w:docPartObj>
    </w:sdtPr>
    <w:sdtEndPr>
      <w:rPr>
        <w:lang w:val="zh-CN"/>
      </w:rPr>
    </w:sdtEndPr>
    <w:sdtContent>
      <w:p w14:paraId="1D1EEA7C">
        <w:pPr>
          <w:pStyle w:val="5"/>
          <w:jc w:val="center"/>
          <w:rPr>
            <w:rFonts w:hint="eastAsia"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lang w:val="zh-CN"/>
          </w:rPr>
          <w:t>3</w:t>
        </w:r>
        <w:r>
          <w:rPr>
            <w:lang w:val="zh-CN"/>
          </w:rPr>
          <w:fldChar w:fldCharType="end"/>
        </w:r>
      </w:p>
      <w:p w14:paraId="46165DA1">
        <w:pPr>
          <w:pStyle w:val="5"/>
          <w:rPr>
            <w:rFonts w:hint="eastAsia"/>
          </w:rPr>
        </w:pPr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81DA5A5">
    <w:pPr>
      <w:pStyle w:val="5"/>
      <w:rPr>
        <w:rFonts w:hint="eastAsia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B5B240">
    <w:pPr>
      <w:pStyle w:val="5"/>
      <w:rPr>
        <w:rFonts w:hint="eastAsia"/>
      </w:rPr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E9FB1A0">
    <w:pPr>
      <w:pStyle w:val="6"/>
      <w:rPr>
        <w:rFonts w:hint="eastAsia"/>
      </w:rPr>
    </w:pPr>
    <w:r>
      <w:rPr>
        <w:rFonts w:hint="eastAsia"/>
      </w:rPr>
      <w:drawing>
        <wp:inline distT="0" distB="0" distL="0" distR="0">
          <wp:extent cx="2345690" cy="429260"/>
          <wp:effectExtent l="0" t="0" r="0" b="8890"/>
          <wp:docPr id="920357090" name="图片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20357090" name="图片 2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93308" cy="43797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01BA01">
    <w:pPr>
      <w:pStyle w:val="6"/>
      <w:rPr>
        <w:rFonts w:hint="eastAsia"/>
      </w:rPr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356FC67">
    <w:pPr>
      <w:pStyle w:val="6"/>
      <w:rPr>
        <w:rFonts w:hint="eastAsia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A462133"/>
    <w:multiLevelType w:val="multilevel"/>
    <w:tmpl w:val="1A462133"/>
    <w:lvl w:ilvl="0" w:tentative="0">
      <w:start w:val="3"/>
      <w:numFmt w:val="decimal"/>
      <w:lvlText w:val="%1"/>
      <w:lvlJc w:val="left"/>
      <w:pPr>
        <w:ind w:left="360" w:hanging="36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>
    <w:nsid w:val="21E90FAC"/>
    <w:multiLevelType w:val="multilevel"/>
    <w:tmpl w:val="21E90FAC"/>
    <w:lvl w:ilvl="0" w:tentative="0">
      <w:start w:val="1"/>
      <w:numFmt w:val="decimal"/>
      <w:lvlText w:val="%1"/>
      <w:lvlJc w:val="left"/>
      <w:pPr>
        <w:ind w:left="420" w:hanging="420" w:firstLineChars="20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420" w:hanging="42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>
    <w:nsid w:val="2A5F37ED"/>
    <w:multiLevelType w:val="multilevel"/>
    <w:tmpl w:val="2A5F37ED"/>
    <w:lvl w:ilvl="0" w:tentative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entative="0">
      <w:start w:val="1"/>
      <w:numFmt w:val="decimal"/>
      <w:lvlText w:val="%1.%2"/>
      <w:lvlJc w:val="left"/>
      <w:pPr>
        <w:ind w:left="360" w:hanging="360" w:firstLineChars="20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6E1E"/>
    <w:rsid w:val="000039E8"/>
    <w:rsid w:val="000255DE"/>
    <w:rsid w:val="0025690D"/>
    <w:rsid w:val="00286959"/>
    <w:rsid w:val="002F022D"/>
    <w:rsid w:val="002F2518"/>
    <w:rsid w:val="00317182"/>
    <w:rsid w:val="00352B37"/>
    <w:rsid w:val="003B690E"/>
    <w:rsid w:val="004155F7"/>
    <w:rsid w:val="00467CC3"/>
    <w:rsid w:val="00476C7E"/>
    <w:rsid w:val="00481574"/>
    <w:rsid w:val="004C2090"/>
    <w:rsid w:val="00503769"/>
    <w:rsid w:val="00647442"/>
    <w:rsid w:val="006A3AB3"/>
    <w:rsid w:val="006A782C"/>
    <w:rsid w:val="006D7446"/>
    <w:rsid w:val="007B6F6C"/>
    <w:rsid w:val="008C4E92"/>
    <w:rsid w:val="008E493E"/>
    <w:rsid w:val="008F2DB5"/>
    <w:rsid w:val="00906A75"/>
    <w:rsid w:val="00A20197"/>
    <w:rsid w:val="00A879D4"/>
    <w:rsid w:val="00AC487C"/>
    <w:rsid w:val="00AD0A11"/>
    <w:rsid w:val="00AD6FC7"/>
    <w:rsid w:val="00B1303F"/>
    <w:rsid w:val="00B305C7"/>
    <w:rsid w:val="00BA28F9"/>
    <w:rsid w:val="00BE5959"/>
    <w:rsid w:val="00C24273"/>
    <w:rsid w:val="00C91281"/>
    <w:rsid w:val="00D0540C"/>
    <w:rsid w:val="00D66B66"/>
    <w:rsid w:val="00D66E1E"/>
    <w:rsid w:val="00E85988"/>
    <w:rsid w:val="00E85BC9"/>
    <w:rsid w:val="00E94B16"/>
    <w:rsid w:val="00EF13AD"/>
    <w:rsid w:val="00EF2E0E"/>
    <w:rsid w:val="00F53034"/>
    <w:rsid w:val="00F75CE1"/>
    <w:rsid w:val="784F5A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 w:eastAsia="宋体" w:ascii="Times New Roman" w:hAnsi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9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4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1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9">
    <w:name w:val="标题 2 字符"/>
    <w:basedOn w:val="8"/>
    <w:link w:val="3"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页眉 字符"/>
    <w:basedOn w:val="8"/>
    <w:link w:val="6"/>
    <w:uiPriority w:val="99"/>
    <w:rPr>
      <w:sz w:val="18"/>
      <w:szCs w:val="18"/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  <w:style w:type="character" w:customStyle="1" w:styleId="13">
    <w:name w:val="标题 1 字符"/>
    <w:basedOn w:val="8"/>
    <w:link w:val="2"/>
    <w:uiPriority w:val="9"/>
    <w:rPr>
      <w:b/>
      <w:bCs/>
      <w:kern w:val="44"/>
      <w:sz w:val="44"/>
      <w:szCs w:val="44"/>
    </w:rPr>
  </w:style>
  <w:style w:type="character" w:customStyle="1" w:styleId="14">
    <w:name w:val="批注框文本 字符"/>
    <w:basedOn w:val="8"/>
    <w:link w:val="4"/>
    <w:semiHidden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3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626</Words>
  <Characters>686</Characters>
  <Lines>37</Lines>
  <Paragraphs>45</Paragraphs>
  <TotalTime>6</TotalTime>
  <ScaleCrop>false</ScaleCrop>
  <LinksUpToDate>false</LinksUpToDate>
  <CharactersWithSpaces>710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2025-07-02T16:39:00Z</dcterms:created>
  <dc:creator>平芜春烬</dc:creator>
  <cp:lastModifiedBy>xh</cp:lastModifiedBy>
  <dcterms:modified xsi:type="dcterms:W3CDTF">2025-10-14T06:21:24Z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2052-12.1.0.22529</vt:lpwstr>
  </property>
  <property fmtid="{D5CDD505-2E9C-101B-9397-08002B2CF9AE}" pid="3" name="ICV">
    <vt:lpwstr>BE73846F3CC94C62BFAFB10A1F26DFAF_13</vt:lpwstr>
  </property>
</Properties>
</file>