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27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（8）波形识别。规则法与神经网络并行运行，0x96 选择上报哪一路。两者失效位置不同：规则法在 1k~50kHz 三分类全对，100kHz 以上三角波报「其他」；神经网络一直对到 100kHz，200kHz 起开始误判。因此低频用规则法（判据可解释），高频切神经网络（性能更好），构成两条实现互相印证，而非一个取代另一个。频率超过 200kHz 时统一报「其他」，不给不可靠结论。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