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本作品在实现上贯穿两条主线。其一是“对照”：同一功能尽量给出两种实现并量化比较——4096 点厂商 IP 与手写 1024 点 FFT 同板并存（自研核 LUT 约为 IP 的 28%）；波形识别同时实现规则法与神经网络（后者定点准确率 89.5%，但在 20kHz 处反而不如规则法，两者互补）；窗函数三档可在线切换并给出实测底噪（矩形为另两档的 3.2 倍）。其二是“轻量化”：所有新增功能均在既有引擎上扩展，不新增乘法器、不新增块 RAM——窗函数切换仅多用 1 块 BRAM，帧重叠用几百个 LUT 换取采集时间减半，IFFT 复用同一套蝶形而额外逻辑代价几乎为零。加入全部功能后，设计仍稳定在 LUT 33.96%、时序裕量 +1.607ns。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并行存在，同一信号可同时得到两组频谱读数，可直接比对资源与精度。裸核同口径下自研核 LUT 约为 IP 的 28%、寄存器约 14%，而每点 LUT 为 0.49 对 0.43，属同一量级 —— 说明手写实现的资源效率达到商用 IP 水准，且控制逻辑全部以可读 RTL 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（1b）同一功能的两种实现，是本作品贯穿始终的设计方法。除双 FFT 外，波形识别也同时给出规则法与神经网络两条通路：规则法以占空比占比配手工阈值，逻辑极简；神经网络从样本学习权重，定点准确率 89.5%。两者在同一批激励上做扫频对照，得出“互补而非替代”的结论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BRAM。全部功能加入后仍为 LUT 33.96%、WNS +1.607ns。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89.5%。而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89.5%（正弦 98.7%、方波 99.3%、三角 98.7%、其他 61.3%）。“其他”类偏低是因为它涵盖双音、削顶、噪声等多种形态，本身并非单一类；对前三类的区分（本系统的实际用途）均在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代价是定点准确率由 94% 降至 89.5%（“其他”类 77.3%→61.3%，前三类基本不变）。这属于“为可实现性让出精度”的取舍，如实记录。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89.5%（正弦 98.7 / 方波 99.3 / 三角 98.7 / 其他 61.3）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2.5.3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89.5%（正弦 98.7% / 方波 99.3% / 三角 98.7% / 其他 61.3%）；特征提取器以 16 条波形 × 6 项共 96 项与模型比对，PASS=96 FAIL=0；推理核另以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