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7368（35.42%）、DSP 42.22%，50MHz 下 </w:t>
      </w:r>
      <w:r>
        <w:rPr>
          <w:rFonts w:ascii="Times New Roman" w:hAnsi="Times New Roman" w:eastAsia="宋体"/>
          <w:sz w:val="24"/>
          <w:b/>
        </w:rPr>
        <w:t xml:space="preserve">WNS +1.169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69 条技能包与 44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35.42%、寄存器 15.68%、DSP 42.22%、块 RAM 22.00%，LUT 仍留有约六成余量，时序裕量 +1.169ns。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35.42%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+1.169ns，0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+1.169ns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 LUT（35.42%）/ 6,522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+1.169ns，零失败端点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7368（35.42%）。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+1.169。逻辑精简之后扇出变大、布线更集中，关键路径随之改变。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，理由是裕量的绝对值：+1.169 ns 对应 20 ns 周期，仍有 </w:t>
      </w:r>
      <w:r>
        <w:rPr>
          <w:rFonts w:ascii="Times New Roman" w:hAnsi="Times New Roman" w:eastAsia="宋体"/>
          <w:sz w:val="24"/>
          <w:b/>
        </w:rPr>
        <w:t xml:space="preserve">5.8%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0.38ns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35.42%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6,522（15.68%）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7368（−5.94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7368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