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89.5%，但在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33.96%、时序裕量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89.5%。两者在同一批激励上做扫频对照，得出“互补而非替代”的结论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BRAM。全部功能加入后仍为 LUT 33.96%、WNS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89.5%。而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89.5%（正弦 98.7%、方波 99.3%、三角 98.7%、其他 61.3%）。“其他”类偏低是因为它涵盖双音、削顶、噪声等多种形态，本身并非单一类；对前三类的区分（本系统的实际用途）均在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代价是定点准确率由 94% 降至 89.5%（“其他”类 77.3%→61.3%，前三类基本不变）。这属于“为可实现性让出精度”的取舍，如实记录。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89.5%（正弦 98.7 / 方波 99.3 / 三角 98.7 / 其他 61.3）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89.5%（正弦 98.7% / 方波 99.3% / 三角 98.7% / 其他 61.3%）；特征提取器以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