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26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（8）波形识别。规则法与神经网络并行。规则法上限由 25kHz 提升到 200kHz：正弦与方波在1k~200kHz 全部判对，三角波在 100kHz 以上如实报「其他」。频率超过 200kHz 时统一报「其他」，不给出不可靠的结论。神经网络定点准确率 91.3%（测试集口径）。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−13dB：此时常规峰峰值读数 3960mV，而真值仅 596mV（偏离 6.6 倍）；锁相给出 583mV，误差 2.1%。积分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