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复用蝶形的正确形式：现有引擎是“自然序输入、位反转存储输出”。反向变换只需把**地址经过一次 10 位位反转**、并把旋转因子的正弦项取负，蝶形结构本身无需改动。该结论由数值建模确定——对照解析解验证了三种可能的变体，只有“自然序输入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一处需要如实说明的固有限制：**加窗重建会带回窗函数的包络**。数学上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94%。而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94%（正弦 99.3%、方波 100%、三角 99.3%、其他 77.3%）。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与规则法的频段对照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两者在同一批激励上做扫频对比，结果如下表。结论是二者互补而非替代。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状态说明：训练、量化与推理核均已验证；**特征提取器尚未实现**，因此当前网络的特征由外部提供，尚未接入实时波形。该项按“推理核完成、特征提取待实现”如实说明。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神经网络波形识别：定点模型分类准确率 94%（正弦 99.3% / 方波 100% / 三角 99.3% / 其他 77.3%），推理核以 64 条测试向量与模型逐条比对，PASS=64 FAIL=0，一次推理约 166 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