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系统具备九项功能：1Hz~12.5MHz 信号源（分辨率 0.0116Hz）；100Hz~1MHz 频率测量（误差&lt;1%）及峰峰值、占空比、脉宽；4096 点 IP FFT 与自研 1024 点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7469（35.91%）、FF 6633（15.94%）、BRAM 11（22%）、DSP 38（42.22%），50MHz 下 WNS +1.406ns、零失败端点。自研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可用范围 48.8~24951Hz（T1）与 12.2~6238Hz（T2），受 1024 点、仅扫 bin 1~511 所限，越界分量会混叠折叠（实测见 3.3）。时基四档，T3/T4 为高频频谱档，最高观测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-13dB 时，常规峰峰值读数偏离真值 6.6 倍，锁相仍以 2.1%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通信为 UART 460800-8N1，协议 v1.22；固件已固化至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-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（3）频谱：4096 点 IP FFT 与自研 1024 点 FFT 双通路；自研含 Hann 窗与抛物线插值，输出基波与 3、5 次谐波。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（5）二次开发：串口协议公开（v1.22，25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（1）双路 FFT 并行。厂商 4096 点 IP 与自研 1024 点 Radix-2 DIF 核同板并存，同一路信号可同时获得粗、细两种分辨率，也可互为参照。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−13dB 下幅度误差 2.1%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BRAM 22% / DSP 42.22%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对照：自研核与厂商 IP 同板并存、对同一信号并行运算，使自研核有可比的参照对象。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（4）低代价功能扩展：十项功能在同一引擎上扩展，未新增乘法器与块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内部按功能划分为八个模块：命令解码、信号发生、ADC 采集、参数测量、触发与波形缓存、FFT（IP 与自研两路）、频谱帧与识别、串口收发。上位机负责发送命令、显示波形与频谱，不参与任何测量运算。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37 个 Verilog 模块，顶层 board_top 负责模块互连与时钟分配，不含运算逻辑。上位机为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位、流水线结构，输出峰值频率与幅值，作为粗分辨率参照通路。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27 条命令；上报分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（8）波形识别。规则法与神经网络并行运行，0x96 选择上报哪一路。两条实现的强项不同：正弦波神经网络可到 400kHz 而规则法在 150kHz 后失效；方波相反，规则法到 400kHz 仍全对；三角波神经网络到 200kHz、规则法到 100kHz。低频段两者均为 100%，高频段按波形择优切换。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（13）三条量化对照轴。除频谱双实现外，另设三组对照以量化各实现的边界。其一，波形识别：规则法在正弦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7891（37.94%）、FF 7082（17.02%）、BRAM 12（24.00%）、DSP 40（44.44%），50MHz 下 WNS +0.677ns、WHS +0.056ns，零失败端点。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用于低频与高分辨率，T3/T4 为高频频谱档（6.25MHz / 12.5MHz）。波形帧固定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