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spacing w:after="240"/>
        <w:jc w:val="center"/>
      </w:pPr>
      <w:r>
        <w:rPr>
          <w:rFonts w:ascii="Calibri" w:hAnsi="Calibri"/>
          <w:b/>
          <w:color w:val="1D3557"/>
          <w:sz w:val="48"/>
        </w:rPr>
        <w:t>WEEK 2 INTERNSHIP REPORT:</w:t>
        <w:br/>
        <w:t>DATA VISUALIZATION AND INSIGHT COMMUNICATION USING R</w:t>
      </w:r>
    </w:p>
    <w:p>
      <w:pPr>
        <w:spacing w:after="800"/>
        <w:jc w:val="center"/>
      </w:pPr>
      <w:r>
        <w:rPr>
          <w:rFonts w:ascii="Calibri" w:hAnsi="Calibri"/>
          <w:i/>
          <w:color w:val="457B9D"/>
          <w:sz w:val="26"/>
        </w:rPr>
        <w:t>An Exhaustive Exploratory Visualization, Empirical Statistical Audit, and Commercial Insight Investigation of the Kaggle Superstore Sales Dataset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680"/>
        <w:gridCol w:w="4680"/>
      </w:tblGrid>
      <w:tr>
        <w:tc>
          <w:tcPr>
            <w:tcW w:type="dxa" w:w="3600"/>
            <w:shd w:fill="1D3557"/>
            <w:tcMar>
              <w:top w:w="100" w:type="dxa"/>
              <w:bottom w:w="100" w:type="dxa"/>
              <w:left w:w="120" w:type="dxa"/>
              <w:right w:w="120" w:type="dxa"/>
            </w:tcMar>
          </w:tcPr>
          <w:p>
            <w:pPr>
              <w:jc w:val="left"/>
            </w:pPr>
            <w:r>
              <w:rPr>
                <w:rFonts w:ascii="Calibri" w:hAnsi="Calibri"/>
                <w:b/>
                <w:color w:val="FFFFFF"/>
                <w:sz w:val="19"/>
              </w:rPr>
              <w:t>Project Dimension</w:t>
            </w:r>
          </w:p>
        </w:tc>
        <w:tc>
          <w:tcPr>
            <w:tcW w:type="dxa" w:w="5760"/>
            <w:shd w:fill="1D3557"/>
            <w:tcMar>
              <w:top w:w="100" w:type="dxa"/>
              <w:bottom w:w="100" w:type="dxa"/>
              <w:left w:w="120" w:type="dxa"/>
              <w:right w:w="120" w:type="dxa"/>
            </w:tcMar>
          </w:tcPr>
          <w:p>
            <w:pPr>
              <w:jc w:val="left"/>
            </w:pPr>
            <w:r>
              <w:rPr>
                <w:rFonts w:ascii="Calibri" w:hAnsi="Calibri"/>
                <w:b/>
                <w:color w:val="FFFFFF"/>
                <w:sz w:val="19"/>
              </w:rPr>
              <w:t>Specification Details</w:t>
            </w:r>
          </w:p>
        </w:tc>
      </w:tr>
      <w:tr>
        <w:tc>
          <w:tcPr>
            <w:tcW w:type="dxa" w:w="3600"/>
            <w:shd w:fill="FFFFFF"/>
            <w:tcMar>
              <w:top w:w="80" w:type="dxa"/>
              <w:bottom w:w="80" w:type="dxa"/>
              <w:left w:w="120" w:type="dxa"/>
              <w:right w:w="120" w:type="dxa"/>
            </w:tcMar>
          </w:tcPr>
          <w:p>
            <w:pPr>
              <w:jc w:val="left"/>
            </w:pPr>
            <w:r>
              <w:rPr>
                <w:rFonts w:ascii="Calibri" w:hAnsi="Calibri"/>
                <w:color w:val="2B2D42"/>
                <w:sz w:val="18"/>
              </w:rPr>
              <w:t>Author / Intern</w:t>
            </w:r>
          </w:p>
        </w:tc>
        <w:tc>
          <w:tcPr>
            <w:tcW w:type="dxa" w:w="5760"/>
            <w:shd w:fill="FFFFFF"/>
            <w:tcMar>
              <w:top w:w="80" w:type="dxa"/>
              <w:bottom w:w="80" w:type="dxa"/>
              <w:left w:w="120" w:type="dxa"/>
              <w:right w:w="120" w:type="dxa"/>
            </w:tcMar>
          </w:tcPr>
          <w:p>
            <w:pPr>
              <w:jc w:val="left"/>
            </w:pPr>
            <w:r>
              <w:rPr>
                <w:rFonts w:ascii="Calibri" w:hAnsi="Calibri"/>
                <w:color w:val="2B2D42"/>
                <w:sz w:val="18"/>
              </w:rPr>
              <w:t>Data Analytics &amp; Engineering Intern</w:t>
            </w:r>
          </w:p>
        </w:tc>
      </w:tr>
      <w:tr>
        <w:tc>
          <w:tcPr>
            <w:tcW w:type="dxa" w:w="3600"/>
            <w:shd w:fill="F8F9FA"/>
            <w:tcMar>
              <w:top w:w="80" w:type="dxa"/>
              <w:bottom w:w="80" w:type="dxa"/>
              <w:left w:w="120" w:type="dxa"/>
              <w:right w:w="120" w:type="dxa"/>
            </w:tcMar>
          </w:tcPr>
          <w:p>
            <w:pPr>
              <w:jc w:val="left"/>
            </w:pPr>
            <w:r>
              <w:rPr>
                <w:rFonts w:ascii="Calibri" w:hAnsi="Calibri"/>
                <w:color w:val="2B2D42"/>
                <w:sz w:val="18"/>
              </w:rPr>
              <w:t>Program</w:t>
            </w:r>
          </w:p>
        </w:tc>
        <w:tc>
          <w:tcPr>
            <w:tcW w:type="dxa" w:w="5760"/>
            <w:shd w:fill="F8F9FA"/>
            <w:tcMar>
              <w:top w:w="80" w:type="dxa"/>
              <w:bottom w:w="80" w:type="dxa"/>
              <w:left w:w="120" w:type="dxa"/>
              <w:right w:w="120" w:type="dxa"/>
            </w:tcMar>
          </w:tcPr>
          <w:p>
            <w:pPr>
              <w:jc w:val="left"/>
            </w:pPr>
            <w:r>
              <w:rPr>
                <w:rFonts w:ascii="Calibri" w:hAnsi="Calibri"/>
                <w:color w:val="2B2D42"/>
                <w:sz w:val="18"/>
              </w:rPr>
              <w:t>Data Analytics &amp; Insight Communication Internship</w:t>
            </w:r>
          </w:p>
        </w:tc>
      </w:tr>
      <w:tr>
        <w:tc>
          <w:tcPr>
            <w:tcW w:type="dxa" w:w="3600"/>
            <w:shd w:fill="FFFFFF"/>
            <w:tcMar>
              <w:top w:w="80" w:type="dxa"/>
              <w:bottom w:w="80" w:type="dxa"/>
              <w:left w:w="120" w:type="dxa"/>
              <w:right w:w="120" w:type="dxa"/>
            </w:tcMar>
          </w:tcPr>
          <w:p>
            <w:pPr>
              <w:jc w:val="left"/>
            </w:pPr>
            <w:r>
              <w:rPr>
                <w:rFonts w:ascii="Calibri" w:hAnsi="Calibri"/>
                <w:color w:val="2B2D42"/>
                <w:sz w:val="18"/>
              </w:rPr>
              <w:t>Project Week</w:t>
            </w:r>
          </w:p>
        </w:tc>
        <w:tc>
          <w:tcPr>
            <w:tcW w:type="dxa" w:w="5760"/>
            <w:shd w:fill="FFFFFF"/>
            <w:tcMar>
              <w:top w:w="80" w:type="dxa"/>
              <w:bottom w:w="80" w:type="dxa"/>
              <w:left w:w="120" w:type="dxa"/>
              <w:right w:w="120" w:type="dxa"/>
            </w:tcMar>
          </w:tcPr>
          <w:p>
            <w:pPr>
              <w:jc w:val="right"/>
            </w:pPr>
            <w:r>
              <w:rPr>
                <w:rFonts w:ascii="Calibri" w:hAnsi="Calibri"/>
                <w:color w:val="2B2D42"/>
                <w:sz w:val="18"/>
              </w:rPr>
              <w:t>Week 2 (Core Data Visualization &amp; Visual Storytelling)</w:t>
            </w:r>
          </w:p>
        </w:tc>
      </w:tr>
      <w:tr>
        <w:tc>
          <w:tcPr>
            <w:tcW w:type="dxa" w:w="3600"/>
            <w:shd w:fill="F8F9FA"/>
            <w:tcMar>
              <w:top w:w="80" w:type="dxa"/>
              <w:bottom w:w="80" w:type="dxa"/>
              <w:left w:w="120" w:type="dxa"/>
              <w:right w:w="120" w:type="dxa"/>
            </w:tcMar>
          </w:tcPr>
          <w:p>
            <w:pPr>
              <w:jc w:val="left"/>
            </w:pPr>
            <w:r>
              <w:rPr>
                <w:rFonts w:ascii="Calibri" w:hAnsi="Calibri"/>
                <w:color w:val="2B2D42"/>
                <w:sz w:val="18"/>
              </w:rPr>
              <w:t>Primary Technology</w:t>
            </w:r>
          </w:p>
        </w:tc>
        <w:tc>
          <w:tcPr>
            <w:tcW w:type="dxa" w:w="5760"/>
            <w:shd w:fill="F8F9FA"/>
            <w:tcMar>
              <w:top w:w="80" w:type="dxa"/>
              <w:bottom w:w="80" w:type="dxa"/>
              <w:left w:w="120" w:type="dxa"/>
              <w:right w:w="120" w:type="dxa"/>
            </w:tcMar>
          </w:tcPr>
          <w:p>
            <w:pPr>
              <w:jc w:val="right"/>
            </w:pPr>
            <w:r>
              <w:rPr>
                <w:rFonts w:ascii="Calibri" w:hAnsi="Calibri"/>
                <w:color w:val="2B2D42"/>
                <w:sz w:val="18"/>
              </w:rPr>
              <w:t>R (Version 4.6.1, UCRT x86_64-w64-mingw32)</w:t>
            </w:r>
          </w:p>
        </w:tc>
      </w:tr>
      <w:tr>
        <w:tc>
          <w:tcPr>
            <w:tcW w:type="dxa" w:w="3600"/>
            <w:shd w:fill="FFFFFF"/>
            <w:tcMar>
              <w:top w:w="80" w:type="dxa"/>
              <w:bottom w:w="80" w:type="dxa"/>
              <w:left w:w="120" w:type="dxa"/>
              <w:right w:w="120" w:type="dxa"/>
            </w:tcMar>
          </w:tcPr>
          <w:p>
            <w:pPr>
              <w:jc w:val="left"/>
            </w:pPr>
            <w:r>
              <w:rPr>
                <w:rFonts w:ascii="Calibri" w:hAnsi="Calibri"/>
                <w:color w:val="2B2D42"/>
                <w:sz w:val="18"/>
              </w:rPr>
              <w:t>Visualization Engine</w:t>
            </w:r>
          </w:p>
        </w:tc>
        <w:tc>
          <w:tcPr>
            <w:tcW w:type="dxa" w:w="5760"/>
            <w:shd w:fill="FFFFFF"/>
            <w:tcMar>
              <w:top w:w="80" w:type="dxa"/>
              <w:bottom w:w="80" w:type="dxa"/>
              <w:left w:w="120" w:type="dxa"/>
              <w:right w:w="120" w:type="dxa"/>
            </w:tcMar>
          </w:tcPr>
          <w:p>
            <w:pPr>
              <w:jc w:val="right"/>
            </w:pPr>
            <w:r>
              <w:rPr>
                <w:rFonts w:ascii="Calibri" w:hAnsi="Calibri"/>
                <w:color w:val="2B2D42"/>
                <w:sz w:val="18"/>
              </w:rPr>
              <w:t>ggplot2 (v4.0.3), scales, patchwork, forcats</w:t>
            </w:r>
          </w:p>
        </w:tc>
      </w:tr>
      <w:tr>
        <w:tc>
          <w:tcPr>
            <w:tcW w:type="dxa" w:w="3600"/>
            <w:shd w:fill="F8F9FA"/>
            <w:tcMar>
              <w:top w:w="80" w:type="dxa"/>
              <w:bottom w:w="80" w:type="dxa"/>
              <w:left w:w="120" w:type="dxa"/>
              <w:right w:w="120" w:type="dxa"/>
            </w:tcMar>
          </w:tcPr>
          <w:p>
            <w:pPr>
              <w:jc w:val="left"/>
            </w:pPr>
            <w:r>
              <w:rPr>
                <w:rFonts w:ascii="Calibri" w:hAnsi="Calibri"/>
                <w:color w:val="2B2D42"/>
                <w:sz w:val="18"/>
              </w:rPr>
              <w:t>Dataset Analyzed</w:t>
            </w:r>
          </w:p>
        </w:tc>
        <w:tc>
          <w:tcPr>
            <w:tcW w:type="dxa" w:w="5760"/>
            <w:shd w:fill="F8F9FA"/>
            <w:tcMar>
              <w:top w:w="80" w:type="dxa"/>
              <w:bottom w:w="80" w:type="dxa"/>
              <w:left w:w="120" w:type="dxa"/>
              <w:right w:w="120" w:type="dxa"/>
            </w:tcMar>
          </w:tcPr>
          <w:p>
            <w:pPr>
              <w:jc w:val="left"/>
            </w:pPr>
            <w:r>
              <w:rPr>
                <w:rFonts w:ascii="Calibri" w:hAnsi="Calibri"/>
                <w:color w:val="2B2D42"/>
                <w:sz w:val="18"/>
              </w:rPr>
              <w:t>Kaggle Superstore Sales Dataset (Superstore.csv)</w:t>
            </w:r>
          </w:p>
        </w:tc>
      </w:tr>
      <w:tr>
        <w:tc>
          <w:tcPr>
            <w:tcW w:type="dxa" w:w="3600"/>
            <w:shd w:fill="FFFFFF"/>
            <w:tcMar>
              <w:top w:w="80" w:type="dxa"/>
              <w:bottom w:w="80" w:type="dxa"/>
              <w:left w:w="120" w:type="dxa"/>
              <w:right w:w="120" w:type="dxa"/>
            </w:tcMar>
          </w:tcPr>
          <w:p>
            <w:pPr>
              <w:jc w:val="left"/>
            </w:pPr>
            <w:r>
              <w:rPr>
                <w:rFonts w:ascii="Calibri" w:hAnsi="Calibri"/>
                <w:color w:val="2B2D42"/>
                <w:sz w:val="18"/>
              </w:rPr>
              <w:t>Dataset Dimensions</w:t>
            </w:r>
          </w:p>
        </w:tc>
        <w:tc>
          <w:tcPr>
            <w:tcW w:type="dxa" w:w="5760"/>
            <w:shd w:fill="FFFFFF"/>
            <w:tcMar>
              <w:top w:w="80" w:type="dxa"/>
              <w:bottom w:w="80" w:type="dxa"/>
              <w:left w:w="120" w:type="dxa"/>
              <w:right w:w="120" w:type="dxa"/>
            </w:tcMar>
          </w:tcPr>
          <w:p>
            <w:pPr>
              <w:jc w:val="right"/>
            </w:pPr>
            <w:r>
              <w:rPr>
                <w:rFonts w:ascii="Calibri" w:hAnsi="Calibri"/>
                <w:color w:val="2B2D42"/>
                <w:sz w:val="18"/>
              </w:rPr>
              <w:t>9,994 Rows × 21 Variables (4-Year Horizon: 2011–2014)</w:t>
            </w:r>
          </w:p>
        </w:tc>
      </w:tr>
      <w:tr>
        <w:tc>
          <w:tcPr>
            <w:tcW w:type="dxa" w:w="3600"/>
            <w:shd w:fill="F8F9FA"/>
            <w:tcMar>
              <w:top w:w="80" w:type="dxa"/>
              <w:bottom w:w="80" w:type="dxa"/>
              <w:left w:w="120" w:type="dxa"/>
              <w:right w:w="120" w:type="dxa"/>
            </w:tcMar>
          </w:tcPr>
          <w:p>
            <w:pPr>
              <w:jc w:val="left"/>
            </w:pPr>
            <w:r>
              <w:rPr>
                <w:rFonts w:ascii="Calibri" w:hAnsi="Calibri"/>
                <w:color w:val="2B2D42"/>
                <w:sz w:val="18"/>
              </w:rPr>
              <w:t>Report Generation Date</w:t>
            </w:r>
          </w:p>
        </w:tc>
        <w:tc>
          <w:tcPr>
            <w:tcW w:type="dxa" w:w="5760"/>
            <w:shd w:fill="F8F9FA"/>
            <w:tcMar>
              <w:top w:w="80" w:type="dxa"/>
              <w:bottom w:w="80" w:type="dxa"/>
              <w:left w:w="120" w:type="dxa"/>
              <w:right w:w="120" w:type="dxa"/>
            </w:tcMar>
          </w:tcPr>
          <w:p>
            <w:pPr>
              <w:jc w:val="right"/>
            </w:pPr>
            <w:r>
              <w:rPr>
                <w:rFonts w:ascii="Calibri" w:hAnsi="Calibri"/>
                <w:color w:val="2B2D42"/>
                <w:sz w:val="18"/>
              </w:rPr>
              <w:t>September 28, 2026</w:t>
            </w:r>
          </w:p>
        </w:tc>
      </w:tr>
      <w:tr>
        <w:tc>
          <w:tcPr>
            <w:tcW w:type="dxa" w:w="3600"/>
            <w:shd w:fill="FFFFFF"/>
            <w:tcMar>
              <w:top w:w="80" w:type="dxa"/>
              <w:bottom w:w="80" w:type="dxa"/>
              <w:left w:w="120" w:type="dxa"/>
              <w:right w:w="120" w:type="dxa"/>
            </w:tcMar>
          </w:tcPr>
          <w:p>
            <w:pPr>
              <w:jc w:val="left"/>
            </w:pPr>
            <w:r>
              <w:rPr>
                <w:rFonts w:ascii="Calibri" w:hAnsi="Calibri"/>
                <w:color w:val="2B2D42"/>
                <w:sz w:val="18"/>
              </w:rPr>
              <w:t>Execution Status</w:t>
            </w:r>
          </w:p>
        </w:tc>
        <w:tc>
          <w:tcPr>
            <w:tcW w:type="dxa" w:w="5760"/>
            <w:shd w:fill="FFFFFF"/>
            <w:tcMar>
              <w:top w:w="80" w:type="dxa"/>
              <w:bottom w:w="80" w:type="dxa"/>
              <w:left w:w="120" w:type="dxa"/>
              <w:right w:w="120" w:type="dxa"/>
            </w:tcMar>
          </w:tcPr>
          <w:p>
            <w:pPr>
              <w:jc w:val="right"/>
            </w:pPr>
            <w:r>
              <w:rPr>
                <w:rFonts w:ascii="Calibri" w:hAnsi="Calibri"/>
                <w:color w:val="2B2D42"/>
                <w:sz w:val="18"/>
              </w:rPr>
              <w:t>End-to-End Code Verification Complete (100% Reproducible)</w:t>
            </w:r>
          </w:p>
        </w:tc>
      </w:tr>
    </w:tbl>
    <w:p>
      <w:pPr>
        <w:spacing w:after="80"/>
      </w:pPr>
    </w:p>
    <w:p>
      <w:r>
        <w:br w:type="page"/>
      </w:r>
    </w:p>
    <w:p>
      <w:pPr>
        <w:keepNext/>
        <w:spacing w:before="320" w:after="120"/>
      </w:pPr>
      <w:r>
        <w:rPr>
          <w:rFonts w:ascii="Calibri" w:hAnsi="Calibri"/>
          <w:b/>
          <w:color w:val="1D3557"/>
          <w:sz w:val="34"/>
        </w:rPr>
        <w:t>TABLE OF CONTENTS</w:t>
      </w:r>
    </w:p>
    <w:p>
      <w:pPr>
        <w:spacing w:after="40"/>
      </w:pPr>
      <w:r>
        <w:rPr>
          <w:rFonts w:ascii="Calibri" w:hAnsi="Calibri"/>
          <w:b/>
          <w:color w:val="1D3557"/>
          <w:sz w:val="20"/>
        </w:rPr>
        <w:t>1. EXECUTIVE SUMMARY</w:t>
      </w:r>
      <w:r>
        <w:rPr>
          <w:rFonts w:ascii="Calibri" w:hAnsi="Calibri"/>
          <w:color w:val="6C757D"/>
          <w:sz w:val="18"/>
        </w:rPr>
        <w:t xml:space="preserve"> ....................................................... </w:t>
      </w:r>
      <w:r>
        <w:rPr>
          <w:rFonts w:ascii="Calibri" w:hAnsi="Calibri"/>
          <w:b/>
          <w:color w:val="457B9D"/>
          <w:sz w:val="20"/>
        </w:rPr>
        <w:t>3</w:t>
      </w:r>
    </w:p>
    <w:p>
      <w:pPr>
        <w:spacing w:after="40"/>
      </w:pPr>
      <w:r>
        <w:rPr>
          <w:rFonts w:ascii="Calibri" w:hAnsi="Calibri"/>
          <w:b w:val="0"/>
          <w:color w:val="2B2D42"/>
          <w:sz w:val="20"/>
        </w:rPr>
        <w:t>2. INTRODUCTION &amp; PROJECT OBJECTIVES</w:t>
      </w:r>
      <w:r>
        <w:rPr>
          <w:rFonts w:ascii="Calibri" w:hAnsi="Calibri"/>
          <w:color w:val="6C757D"/>
          <w:sz w:val="18"/>
        </w:rPr>
        <w:t xml:space="preserve"> ....................................... </w:t>
      </w:r>
      <w:r>
        <w:rPr>
          <w:rFonts w:ascii="Calibri" w:hAnsi="Calibri"/>
          <w:b/>
          <w:color w:val="457B9D"/>
          <w:sz w:val="20"/>
        </w:rPr>
        <w:t>4</w:t>
      </w:r>
    </w:p>
    <w:p>
      <w:pPr>
        <w:spacing w:after="40"/>
      </w:pPr>
      <w:r>
        <w:rPr>
          <w:rFonts w:ascii="Calibri" w:hAnsi="Calibri"/>
          <w:b w:val="0"/>
          <w:color w:val="2B2D42"/>
          <w:sz w:val="20"/>
        </w:rPr>
        <w:t>3. DATASET DESCRIPTION &amp; ARCHITECTURE</w:t>
      </w:r>
      <w:r>
        <w:rPr>
          <w:rFonts w:ascii="Calibri" w:hAnsi="Calibri"/>
          <w:color w:val="6C757D"/>
          <w:sz w:val="18"/>
        </w:rPr>
        <w:t xml:space="preserve"> ...................................... </w:t>
      </w:r>
      <w:r>
        <w:rPr>
          <w:rFonts w:ascii="Calibri" w:hAnsi="Calibri"/>
          <w:b/>
          <w:color w:val="457B9D"/>
          <w:sz w:val="20"/>
        </w:rPr>
        <w:t>5</w:t>
      </w:r>
    </w:p>
    <w:p>
      <w:pPr>
        <w:spacing w:after="40"/>
      </w:pPr>
      <w:r>
        <w:rPr>
          <w:rFonts w:ascii="Calibri" w:hAnsi="Calibri"/>
          <w:b w:val="0"/>
          <w:color w:val="2B2D42"/>
          <w:sz w:val="20"/>
        </w:rPr>
        <w:t>4. DATA QUALITY AUDIT &amp; VALIDATION</w:t>
      </w:r>
      <w:r>
        <w:rPr>
          <w:rFonts w:ascii="Calibri" w:hAnsi="Calibri"/>
          <w:color w:val="6C757D"/>
          <w:sz w:val="18"/>
        </w:rPr>
        <w:t xml:space="preserve"> ......................................... </w:t>
      </w:r>
      <w:r>
        <w:rPr>
          <w:rFonts w:ascii="Calibri" w:hAnsi="Calibri"/>
          <w:b/>
          <w:color w:val="457B9D"/>
          <w:sz w:val="20"/>
        </w:rPr>
        <w:t>7</w:t>
      </w:r>
    </w:p>
    <w:p>
      <w:pPr>
        <w:spacing w:after="40"/>
      </w:pPr>
      <w:r>
        <w:rPr>
          <w:rFonts w:ascii="Calibri" w:hAnsi="Calibri"/>
          <w:b w:val="0"/>
          <w:color w:val="2B2D42"/>
          <w:sz w:val="20"/>
        </w:rPr>
        <w:t>5. DATA PREPARATION &amp; FEATURE ENGINEERING</w:t>
      </w:r>
      <w:r>
        <w:rPr>
          <w:rFonts w:ascii="Calibri" w:hAnsi="Calibri"/>
          <w:color w:val="6C757D"/>
          <w:sz w:val="18"/>
        </w:rPr>
        <w:t xml:space="preserve"> .................................. </w:t>
      </w:r>
      <w:r>
        <w:rPr>
          <w:rFonts w:ascii="Calibri" w:hAnsi="Calibri"/>
          <w:b/>
          <w:color w:val="457B9D"/>
          <w:sz w:val="20"/>
        </w:rPr>
        <w:t>9</w:t>
      </w:r>
    </w:p>
    <w:p>
      <w:pPr>
        <w:spacing w:after="40"/>
      </w:pPr>
      <w:r>
        <w:rPr>
          <w:rFonts w:ascii="Calibri" w:hAnsi="Calibri"/>
          <w:b w:val="0"/>
          <w:color w:val="2B2D42"/>
          <w:sz w:val="20"/>
        </w:rPr>
        <w:t>6. ANALYTICAL METHODS &amp; STATISTICAL FRAMEWORK</w:t>
      </w:r>
      <w:r>
        <w:rPr>
          <w:rFonts w:ascii="Calibri" w:hAnsi="Calibri"/>
          <w:color w:val="6C757D"/>
          <w:sz w:val="18"/>
        </w:rPr>
        <w:t xml:space="preserve"> .............................. </w:t>
      </w:r>
      <w:r>
        <w:rPr>
          <w:rFonts w:ascii="Calibri" w:hAnsi="Calibri"/>
          <w:b/>
          <w:color w:val="457B9D"/>
          <w:sz w:val="20"/>
        </w:rPr>
        <w:t>11</w:t>
      </w:r>
    </w:p>
    <w:p>
      <w:pPr>
        <w:spacing w:after="40"/>
      </w:pPr>
      <w:r>
        <w:rPr>
          <w:rFonts w:ascii="Calibri" w:hAnsi="Calibri"/>
          <w:b w:val="0"/>
          <w:color w:val="2B2D42"/>
          <w:sz w:val="20"/>
        </w:rPr>
        <w:t>7. VISUALIZATION DESIGN PRINCIPLES &amp; COLOR STRATEGY</w:t>
      </w:r>
      <w:r>
        <w:rPr>
          <w:rFonts w:ascii="Calibri" w:hAnsi="Calibri"/>
          <w:color w:val="6C757D"/>
          <w:sz w:val="18"/>
        </w:rPr>
        <w:t xml:space="preserve"> ........................ </w:t>
      </w:r>
      <w:r>
        <w:rPr>
          <w:rFonts w:ascii="Calibri" w:hAnsi="Calibri"/>
          <w:b/>
          <w:color w:val="457B9D"/>
          <w:sz w:val="20"/>
        </w:rPr>
        <w:t>13</w:t>
      </w:r>
    </w:p>
    <w:p>
      <w:pPr>
        <w:spacing w:after="40"/>
      </w:pPr>
      <w:r>
        <w:rPr>
          <w:rFonts w:ascii="Calibri" w:hAnsi="Calibri"/>
          <w:b/>
          <w:color w:val="1D3557"/>
          <w:sz w:val="20"/>
        </w:rPr>
        <w:t>8. VISUALIZATION 1: Total Sales Revenue by Product Category</w:t>
      </w:r>
      <w:r>
        <w:rPr>
          <w:rFonts w:ascii="Calibri" w:hAnsi="Calibri"/>
          <w:color w:val="6C757D"/>
          <w:sz w:val="18"/>
        </w:rPr>
        <w:t xml:space="preserve"> ................ </w:t>
      </w:r>
      <w:r>
        <w:rPr>
          <w:rFonts w:ascii="Calibri" w:hAnsi="Calibri"/>
          <w:b/>
          <w:color w:val="457B9D"/>
          <w:sz w:val="20"/>
        </w:rPr>
        <w:t>14</w:t>
      </w:r>
    </w:p>
    <w:p>
      <w:pPr>
        <w:spacing w:after="40"/>
      </w:pPr>
      <w:r>
        <w:rPr>
          <w:rFonts w:ascii="Calibri" w:hAnsi="Calibri"/>
          <w:b w:val="0"/>
          <w:color w:val="2B2D42"/>
          <w:sz w:val="20"/>
        </w:rPr>
        <w:t>9. VISUALIZATION 2: Net Profit and Profit Margin by Category</w:t>
      </w:r>
      <w:r>
        <w:rPr>
          <w:rFonts w:ascii="Calibri" w:hAnsi="Calibri"/>
          <w:color w:val="6C757D"/>
          <w:sz w:val="18"/>
        </w:rPr>
        <w:t xml:space="preserve"> ............... </w:t>
      </w:r>
      <w:r>
        <w:rPr>
          <w:rFonts w:ascii="Calibri" w:hAnsi="Calibri"/>
          <w:b/>
          <w:color w:val="457B9D"/>
          <w:sz w:val="20"/>
        </w:rPr>
        <w:t>16</w:t>
      </w:r>
    </w:p>
    <w:p>
      <w:pPr>
        <w:spacing w:after="40"/>
      </w:pPr>
      <w:r>
        <w:rPr>
          <w:rFonts w:ascii="Calibri" w:hAnsi="Calibri"/>
          <w:b w:val="0"/>
          <w:color w:val="2B2D42"/>
          <w:sz w:val="20"/>
        </w:rPr>
        <w:t>10. VISUALIZATION 3: Distribution of Individual Transaction Sales (Log10)</w:t>
      </w:r>
      <w:r>
        <w:rPr>
          <w:rFonts w:ascii="Calibri" w:hAnsi="Calibri"/>
          <w:color w:val="6C757D"/>
          <w:sz w:val="18"/>
        </w:rPr>
        <w:t xml:space="preserve"> ..... </w:t>
      </w:r>
      <w:r>
        <w:rPr>
          <w:rFonts w:ascii="Calibri" w:hAnsi="Calibri"/>
          <w:b/>
          <w:color w:val="457B9D"/>
          <w:sz w:val="20"/>
        </w:rPr>
        <w:t>18</w:t>
      </w:r>
    </w:p>
    <w:p>
      <w:pPr>
        <w:spacing w:after="40"/>
      </w:pPr>
      <w:r>
        <w:rPr>
          <w:rFonts w:ascii="Calibri" w:hAnsi="Calibri"/>
          <w:b w:val="0"/>
          <w:color w:val="2B2D42"/>
          <w:sz w:val="20"/>
        </w:rPr>
        <w:t>11. VISUALIZATION 4: Distribution of Transaction Net Profit Around Breakeven</w:t>
      </w:r>
      <w:r>
        <w:rPr>
          <w:rFonts w:ascii="Calibri" w:hAnsi="Calibri"/>
          <w:color w:val="6C757D"/>
          <w:sz w:val="18"/>
        </w:rPr>
        <w:t xml:space="preserve"> ..... </w:t>
      </w:r>
      <w:r>
        <w:rPr>
          <w:rFonts w:ascii="Calibri" w:hAnsi="Calibri"/>
          <w:b/>
          <w:color w:val="457B9D"/>
          <w:sz w:val="20"/>
        </w:rPr>
        <w:t>20</w:t>
      </w:r>
    </w:p>
    <w:p>
      <w:pPr>
        <w:spacing w:after="40"/>
      </w:pPr>
      <w:r>
        <w:rPr>
          <w:rFonts w:ascii="Calibri" w:hAnsi="Calibri"/>
          <w:b w:val="0"/>
          <w:color w:val="2B2D42"/>
          <w:sz w:val="20"/>
        </w:rPr>
        <w:t>12. VISUALIZATION 5: Chronological Monthly Sales Revenue Trend</w:t>
      </w:r>
      <w:r>
        <w:rPr>
          <w:rFonts w:ascii="Calibri" w:hAnsi="Calibri"/>
          <w:color w:val="6C757D"/>
          <w:sz w:val="18"/>
        </w:rPr>
        <w:t xml:space="preserve"> ............. </w:t>
      </w:r>
      <w:r>
        <w:rPr>
          <w:rFonts w:ascii="Calibri" w:hAnsi="Calibri"/>
          <w:b/>
          <w:color w:val="457B9D"/>
          <w:sz w:val="20"/>
        </w:rPr>
        <w:t>22</w:t>
      </w:r>
    </w:p>
    <w:p>
      <w:pPr>
        <w:spacing w:after="40"/>
      </w:pPr>
      <w:r>
        <w:rPr>
          <w:rFonts w:ascii="Calibri" w:hAnsi="Calibri"/>
          <w:b w:val="0"/>
          <w:color w:val="2B2D42"/>
          <w:sz w:val="20"/>
        </w:rPr>
        <w:t>13. VISUALIZATION 6: Bivariate Association: Discount vs Net Profit</w:t>
      </w:r>
      <w:r>
        <w:rPr>
          <w:rFonts w:ascii="Calibri" w:hAnsi="Calibri"/>
          <w:color w:val="6C757D"/>
          <w:sz w:val="18"/>
        </w:rPr>
        <w:t xml:space="preserve"> ......... </w:t>
      </w:r>
      <w:r>
        <w:rPr>
          <w:rFonts w:ascii="Calibri" w:hAnsi="Calibri"/>
          <w:b/>
          <w:color w:val="457B9D"/>
          <w:sz w:val="20"/>
        </w:rPr>
        <w:t>24</w:t>
      </w:r>
    </w:p>
    <w:p>
      <w:pPr>
        <w:spacing w:after="40"/>
      </w:pPr>
      <w:r>
        <w:rPr>
          <w:rFonts w:ascii="Calibri" w:hAnsi="Calibri"/>
          <w:b w:val="0"/>
          <w:color w:val="2B2D42"/>
          <w:sz w:val="20"/>
        </w:rPr>
        <w:t>14. VISUALIZATION 7: Bivariate Relationship: Sales Revenue vs Net Profit</w:t>
      </w:r>
      <w:r>
        <w:rPr>
          <w:rFonts w:ascii="Calibri" w:hAnsi="Calibri"/>
          <w:color w:val="6C757D"/>
          <w:sz w:val="18"/>
        </w:rPr>
        <w:t xml:space="preserve"> ..... </w:t>
      </w:r>
      <w:r>
        <w:rPr>
          <w:rFonts w:ascii="Calibri" w:hAnsi="Calibri"/>
          <w:b/>
          <w:color w:val="457B9D"/>
          <w:sz w:val="20"/>
        </w:rPr>
        <w:t>26</w:t>
      </w:r>
    </w:p>
    <w:p>
      <w:pPr>
        <w:spacing w:after="40"/>
      </w:pPr>
      <w:r>
        <w:rPr>
          <w:rFonts w:ascii="Calibri" w:hAnsi="Calibri"/>
          <w:b w:val="0"/>
          <w:color w:val="2B2D42"/>
          <w:sz w:val="20"/>
        </w:rPr>
        <w:t>15. VISUALIZATION 8: Net Profitability Across Product Sub-Categories</w:t>
      </w:r>
      <w:r>
        <w:rPr>
          <w:rFonts w:ascii="Calibri" w:hAnsi="Calibri"/>
          <w:color w:val="6C757D"/>
          <w:sz w:val="18"/>
        </w:rPr>
        <w:t xml:space="preserve"> ....... </w:t>
      </w:r>
      <w:r>
        <w:rPr>
          <w:rFonts w:ascii="Calibri" w:hAnsi="Calibri"/>
          <w:b/>
          <w:color w:val="457B9D"/>
          <w:sz w:val="20"/>
        </w:rPr>
        <w:t>28</w:t>
      </w:r>
    </w:p>
    <w:p>
      <w:pPr>
        <w:spacing w:after="40"/>
      </w:pPr>
      <w:r>
        <w:rPr>
          <w:rFonts w:ascii="Calibri" w:hAnsi="Calibri"/>
          <w:b w:val="0"/>
          <w:color w:val="2B2D42"/>
          <w:sz w:val="20"/>
        </w:rPr>
        <w:t>16. VISUALIZATION 9: Profit Distribution Across Categories (Box Plot)</w:t>
      </w:r>
      <w:r>
        <w:rPr>
          <w:rFonts w:ascii="Calibri" w:hAnsi="Calibri"/>
          <w:color w:val="6C757D"/>
          <w:sz w:val="18"/>
        </w:rPr>
        <w:t xml:space="preserve"> ...... </w:t>
      </w:r>
      <w:r>
        <w:rPr>
          <w:rFonts w:ascii="Calibri" w:hAnsi="Calibri"/>
          <w:b/>
          <w:color w:val="457B9D"/>
          <w:sz w:val="20"/>
        </w:rPr>
        <w:t>30</w:t>
      </w:r>
    </w:p>
    <w:p>
      <w:pPr>
        <w:spacing w:after="40"/>
      </w:pPr>
      <w:r>
        <w:rPr>
          <w:rFonts w:ascii="Calibri" w:hAnsi="Calibri"/>
          <w:b w:val="0"/>
          <w:color w:val="2B2D42"/>
          <w:sz w:val="20"/>
        </w:rPr>
        <w:t>17. VISUALIZATION 10: Regional Commercial Performance (Sales &amp; Profit)</w:t>
      </w:r>
      <w:r>
        <w:rPr>
          <w:rFonts w:ascii="Calibri" w:hAnsi="Calibri"/>
          <w:color w:val="6C757D"/>
          <w:sz w:val="18"/>
        </w:rPr>
        <w:t xml:space="preserve"> ..... </w:t>
      </w:r>
      <w:r>
        <w:rPr>
          <w:rFonts w:ascii="Calibri" w:hAnsi="Calibri"/>
          <w:b/>
          <w:color w:val="457B9D"/>
          <w:sz w:val="20"/>
        </w:rPr>
        <w:t>32</w:t>
      </w:r>
    </w:p>
    <w:p>
      <w:pPr>
        <w:spacing w:after="40"/>
      </w:pPr>
      <w:r>
        <w:rPr>
          <w:rFonts w:ascii="Calibri" w:hAnsi="Calibri"/>
          <w:b w:val="0"/>
          <w:color w:val="2B2D42"/>
          <w:sz w:val="20"/>
        </w:rPr>
        <w:t>18. VISUALIZATION 11: Shipping Fulfillment Duration by Logistics Mode</w:t>
      </w:r>
      <w:r>
        <w:rPr>
          <w:rFonts w:ascii="Calibri" w:hAnsi="Calibri"/>
          <w:color w:val="6C757D"/>
          <w:sz w:val="18"/>
        </w:rPr>
        <w:t xml:space="preserve"> ...... </w:t>
      </w:r>
      <w:r>
        <w:rPr>
          <w:rFonts w:ascii="Calibri" w:hAnsi="Calibri"/>
          <w:b/>
          <w:color w:val="457B9D"/>
          <w:sz w:val="20"/>
        </w:rPr>
        <w:t>34</w:t>
      </w:r>
    </w:p>
    <w:p>
      <w:pPr>
        <w:spacing w:after="40"/>
      </w:pPr>
      <w:r>
        <w:rPr>
          <w:rFonts w:ascii="Calibri" w:hAnsi="Calibri"/>
          <w:b/>
          <w:color w:val="1D3557"/>
          <w:sz w:val="20"/>
        </w:rPr>
        <w:t>19. INTEGRATED INSIGHTS &amp; CROSS-CHART SYNTHESIS</w:t>
      </w:r>
      <w:r>
        <w:rPr>
          <w:rFonts w:ascii="Calibri" w:hAnsi="Calibri"/>
          <w:color w:val="6C757D"/>
          <w:sz w:val="18"/>
        </w:rPr>
        <w:t xml:space="preserve"> ............................ </w:t>
      </w:r>
      <w:r>
        <w:rPr>
          <w:rFonts w:ascii="Calibri" w:hAnsi="Calibri"/>
          <w:b/>
          <w:color w:val="457B9D"/>
          <w:sz w:val="20"/>
        </w:rPr>
        <w:t>36</w:t>
      </w:r>
    </w:p>
    <w:p>
      <w:pPr>
        <w:spacing w:after="40"/>
      </w:pPr>
      <w:r>
        <w:rPr>
          <w:rFonts w:ascii="Calibri" w:hAnsi="Calibri"/>
          <w:b w:val="0"/>
          <w:color w:val="2B2D42"/>
          <w:sz w:val="20"/>
        </w:rPr>
        <w:t>20. OUTLIER &amp; ANOMALY FORENSIC INVESTIGATION</w:t>
      </w:r>
      <w:r>
        <w:rPr>
          <w:rFonts w:ascii="Calibri" w:hAnsi="Calibri"/>
          <w:color w:val="6C757D"/>
          <w:sz w:val="18"/>
        </w:rPr>
        <w:t xml:space="preserve"> ............................... </w:t>
      </w:r>
      <w:r>
        <w:rPr>
          <w:rFonts w:ascii="Calibri" w:hAnsi="Calibri"/>
          <w:b/>
          <w:color w:val="457B9D"/>
          <w:sz w:val="20"/>
        </w:rPr>
        <w:t>39</w:t>
      </w:r>
    </w:p>
    <w:p>
      <w:pPr>
        <w:spacing w:after="40"/>
      </w:pPr>
      <w:r>
        <w:rPr>
          <w:rFonts w:ascii="Calibri" w:hAnsi="Calibri"/>
          <w:b/>
          <w:color w:val="1D3557"/>
          <w:sz w:val="20"/>
        </w:rPr>
        <w:t>21. SUMMARY OF KEY EVIDENCE-BASED FINDINGS</w:t>
      </w:r>
      <w:r>
        <w:rPr>
          <w:rFonts w:ascii="Calibri" w:hAnsi="Calibri"/>
          <w:color w:val="6C757D"/>
          <w:sz w:val="18"/>
        </w:rPr>
        <w:t xml:space="preserve"> ................................. </w:t>
      </w:r>
      <w:r>
        <w:rPr>
          <w:rFonts w:ascii="Calibri" w:hAnsi="Calibri"/>
          <w:b/>
          <w:color w:val="457B9D"/>
          <w:sz w:val="20"/>
        </w:rPr>
        <w:t>41</w:t>
      </w:r>
    </w:p>
    <w:p>
      <w:pPr>
        <w:spacing w:after="40"/>
      </w:pPr>
      <w:r>
        <w:rPr>
          <w:rFonts w:ascii="Calibri" w:hAnsi="Calibri"/>
          <w:b w:val="0"/>
          <w:color w:val="2B2D42"/>
          <w:sz w:val="20"/>
        </w:rPr>
        <w:t>22. BUSINESS TRANSLATION &amp; STRATEGIC RECOMMENDATIONS</w:t>
      </w:r>
      <w:r>
        <w:rPr>
          <w:rFonts w:ascii="Calibri" w:hAnsi="Calibri"/>
          <w:color w:val="6C757D"/>
          <w:sz w:val="18"/>
        </w:rPr>
        <w:t xml:space="preserve"> ....................... </w:t>
      </w:r>
      <w:r>
        <w:rPr>
          <w:rFonts w:ascii="Calibri" w:hAnsi="Calibri"/>
          <w:b/>
          <w:color w:val="457B9D"/>
          <w:sz w:val="20"/>
        </w:rPr>
        <w:t>43</w:t>
      </w:r>
    </w:p>
    <w:p>
      <w:pPr>
        <w:spacing w:after="40"/>
      </w:pPr>
      <w:r>
        <w:rPr>
          <w:rFonts w:ascii="Calibri" w:hAnsi="Calibri"/>
          <w:b w:val="0"/>
          <w:color w:val="2B2D42"/>
          <w:sz w:val="20"/>
        </w:rPr>
        <w:t>23. METHODOLOGICAL &amp; DATA LIMITATIONS</w:t>
      </w:r>
      <w:r>
        <w:rPr>
          <w:rFonts w:ascii="Calibri" w:hAnsi="Calibri"/>
          <w:color w:val="6C757D"/>
          <w:sz w:val="18"/>
        </w:rPr>
        <w:t xml:space="preserve"> ...................................... </w:t>
      </w:r>
      <w:r>
        <w:rPr>
          <w:rFonts w:ascii="Calibri" w:hAnsi="Calibri"/>
          <w:b/>
          <w:color w:val="457B9D"/>
          <w:sz w:val="20"/>
        </w:rPr>
        <w:t>45</w:t>
      </w:r>
    </w:p>
    <w:p>
      <w:pPr>
        <w:spacing w:after="40"/>
      </w:pPr>
      <w:r>
        <w:rPr>
          <w:rFonts w:ascii="Calibri" w:hAnsi="Calibri"/>
          <w:b/>
          <w:color w:val="1D3557"/>
          <w:sz w:val="20"/>
        </w:rPr>
        <w:t>24. CONCLUSION &amp; ANALYTICAL LESSONS</w:t>
      </w:r>
      <w:r>
        <w:rPr>
          <w:rFonts w:ascii="Calibri" w:hAnsi="Calibri"/>
          <w:color w:val="6C757D"/>
          <w:sz w:val="18"/>
        </w:rPr>
        <w:t xml:space="preserve"> ........................................ </w:t>
      </w:r>
      <w:r>
        <w:rPr>
          <w:rFonts w:ascii="Calibri" w:hAnsi="Calibri"/>
          <w:b/>
          <w:color w:val="457B9D"/>
          <w:sz w:val="20"/>
        </w:rPr>
        <w:t>46</w:t>
      </w:r>
    </w:p>
    <w:p>
      <w:pPr>
        <w:spacing w:after="40"/>
      </w:pPr>
      <w:r>
        <w:rPr>
          <w:rFonts w:ascii="Calibri" w:hAnsi="Calibri"/>
          <w:b w:val="0"/>
          <w:color w:val="2B2D42"/>
          <w:sz w:val="20"/>
        </w:rPr>
        <w:t>25. REPRODUCIBILITY &amp; ENVIRONMENT SPECIFICATIONS</w:t>
      </w:r>
      <w:r>
        <w:rPr>
          <w:rFonts w:ascii="Calibri" w:hAnsi="Calibri"/>
          <w:color w:val="6C757D"/>
          <w:sz w:val="18"/>
        </w:rPr>
        <w:t xml:space="preserve"> ........................... </w:t>
      </w:r>
      <w:r>
        <w:rPr>
          <w:rFonts w:ascii="Calibri" w:hAnsi="Calibri"/>
          <w:b/>
          <w:color w:val="457B9D"/>
          <w:sz w:val="20"/>
        </w:rPr>
        <w:t>47</w:t>
      </w:r>
    </w:p>
    <w:p>
      <w:pPr>
        <w:spacing w:after="40"/>
      </w:pPr>
      <w:r>
        <w:rPr>
          <w:rFonts w:ascii="Calibri" w:hAnsi="Calibri"/>
          <w:b w:val="0"/>
          <w:color w:val="2B2D42"/>
          <w:sz w:val="20"/>
        </w:rPr>
        <w:t>26. REFERENCES &amp; ACADEMIC SOURCES</w:t>
      </w:r>
      <w:r>
        <w:rPr>
          <w:rFonts w:ascii="Calibri" w:hAnsi="Calibri"/>
          <w:color w:val="6C757D"/>
          <w:sz w:val="18"/>
        </w:rPr>
        <w:t xml:space="preserve"> .......................................... </w:t>
      </w:r>
      <w:r>
        <w:rPr>
          <w:rFonts w:ascii="Calibri" w:hAnsi="Calibri"/>
          <w:b/>
          <w:color w:val="457B9D"/>
          <w:sz w:val="20"/>
        </w:rPr>
        <w:t>48</w:t>
      </w:r>
    </w:p>
    <w:p>
      <w:r>
        <w:br w:type="page"/>
      </w:r>
    </w:p>
    <w:p>
      <w:pPr>
        <w:keepNext/>
        <w:spacing w:before="320" w:after="120"/>
      </w:pPr>
      <w:r>
        <w:rPr>
          <w:rFonts w:ascii="Calibri" w:hAnsi="Calibri"/>
          <w:b/>
          <w:color w:val="1D3557"/>
          <w:sz w:val="34"/>
        </w:rPr>
        <w:t>1. EXECUTIVE SUMMARY</w:t>
      </w:r>
    </w:p>
    <w:p>
      <w:pPr>
        <w:spacing w:after="80" w:line="276" w:lineRule="auto"/>
      </w:pPr>
      <w:r>
        <w:rPr>
          <w:rFonts w:ascii="Calibri" w:hAnsi="Calibri"/>
          <w:color w:val="2B2D42"/>
          <w:sz w:val="22"/>
        </w:rPr>
        <w:t>This project represents the complete, verified, and submission-ready analytical deliverables for the Week 2 Data Analytics and Insight Communication Internship. The central purpose of this investigation is to apply R-based statistical programming and declarative data visualization principles (primarily utilizing the ggplot2 library) to transform the Kaggle Superstore sales dataset into rigorous, actionable, and visually compelling business insights. The analytical workflow encompasses end-to-end data ingestion, structural validation, cleaning, feature engineering, descriptive and grouped statistical aggregations, chronological time-series modeling, correlation analysis, and non-parametric outlier audits.</w:t>
      </w:r>
    </w:p>
    <w:p>
      <w:pPr>
        <w:spacing w:after="80" w:line="276" w:lineRule="auto"/>
      </w:pPr>
      <w:r>
        <w:rPr>
          <w:rFonts w:ascii="Calibri" w:hAnsi="Calibri"/>
          <w:color w:val="2B2D42"/>
          <w:sz w:val="22"/>
        </w:rPr>
        <w:t>The underlying dataset encompasses 9,994 individual line-item commercial transactions recorded across the United States between January 4, 2011, and December 31, 2014, across 21 variables. A thorough initial data quality audit confirmed that the dataset exhibits 100% completeness with zero missing values, zero duplicate rows, and perfect chronological integrity (zero records wherein shipment preceded order placement when parsed according to the true DD-MM-YYYY format). Over the four-year operational horizon, the enterprise generated $2,297,200.86 in cumulative gross revenue and $286,397.02 in cumulative net profit, reflecting an aggregated commercial profit margin of 12.47%.</w:t>
      </w:r>
    </w:p>
    <w:p>
      <w:pPr>
        <w:spacing w:after="80" w:line="276" w:lineRule="auto"/>
      </w:pPr>
      <w:r>
        <w:rPr>
          <w:rFonts w:ascii="Calibri" w:hAnsi="Calibri"/>
          <w:color w:val="2B2D42"/>
          <w:sz w:val="22"/>
        </w:rPr>
        <w:t>Crucially, exploratory visual analytics revealed profound structural asymmetries beneath these aggregate figures. While Technology emerged as the primary growth engine—generating $836,154.03 in sales (36.40%) and $145,454.95 in net profit (50.79% of enterprise profit, at an exceptional 17.39% margin)—the Furniture category presented an acute operational paradox. Furniture absorbed nearly one-third of total company sales ($741,999.80, 32.30%) but delivered a meager $18,451.27 in profit (6.44% of total profit, reflecting an anemic 2.49% margin). Granular sub-category decomposition pinpointed Tables (-$17,725.48 net loss, -8.56% margin) and Bookcases (-$3,472.56 net loss, -3.02% margin) as systemic financial drains.</w:t>
      </w:r>
    </w:p>
    <w:p>
      <w:pPr>
        <w:spacing w:after="80" w:line="276" w:lineRule="auto"/>
      </w:pPr>
      <w:r>
        <w:rPr>
          <w:rFonts w:ascii="Calibri" w:hAnsi="Calibri"/>
          <w:color w:val="2B2D42"/>
          <w:sz w:val="22"/>
        </w:rPr>
        <w:t>Bivariate correlation and scatter evaluations illuminated the primary driver of this profitability collapse: unchecked promotional discounting. While transactions discounted between 0% and 20% maintain strong positive margins (e.g., Copiers at a 37.20% margin with 16.18% average discount, and Paper at a 43.39% margin with 7.49% average discount), promotional discounts exceeding 20% exhibit a catastrophic negative association with net profitability (Spearman rank correlation r_s = -0.5434). In the Central region, aggressive discounting (averaging 24.03%) compressed net margin to 7.92%, whereas the West region maintained strict discount discipline (10.93% average discount), yielding $108,418.45 in profit (14.94% margin).</w:t>
      </w:r>
    </w:p>
    <w:p>
      <w:pPr>
        <w:spacing w:after="80" w:line="276" w:lineRule="auto"/>
      </w:pPr>
      <w:r>
        <w:rPr>
          <w:rFonts w:ascii="Calibri" w:hAnsi="Calibri"/>
          <w:color w:val="2B2D42"/>
          <w:sz w:val="22"/>
        </w:rPr>
        <w:t>All visual assets embedded in this report were generated directly from reproducible R scripts executed in R 4.6.1 at 300 DPI resolution, conforming strictly to professional visualization guidelines. The empirical narrative deliberately distinguishes between observed statistical associations and causal claims, providing business leadership with robust evidence to guide promotional restructuring, catalog rationalization, and regional pricing governance.</w:t>
      </w:r>
    </w:p>
    <w:tbl>
      <w:tblPr>
        <w:tblW w:type="auto" w:w="0"/>
        <w:jc w:val="center"/>
        <w:tblLook w:firstColumn="1" w:firstRow="1" w:lastColumn="0" w:lastRow="0" w:noHBand="0" w:noVBand="1" w:val="04A0"/>
      </w:tblPr>
      <w:tblGrid>
        <w:gridCol w:w="9360"/>
      </w:tblGrid>
      <w:tr>
        <w:tc>
          <w:tcPr>
            <w:tcW w:type="dxa" w:w="9360"/>
            <w:shd w:fill="EBF2FA"/>
            <w:tcMar>
              <w:top w:w="120" w:type="dxa"/>
              <w:bottom w:w="120" w:type="dxa"/>
              <w:left w:w="180" w:type="dxa"/>
              <w:right w:w="180" w:type="dxa"/>
            </w:tcMar>
            <w:tcBorders>
              <w:top w:val="none"/>
              <w:left w:val="single" w:sz="36" w:color="1D3557"/>
              <w:bottom w:val="none"/>
              <w:right w:val="none"/>
            </w:tcBorders>
          </w:tcPr>
          <w:p>
            <w:pPr>
              <w:spacing w:after="40"/>
            </w:pPr>
            <w:r>
              <w:rPr>
                <w:rFonts w:ascii="Calibri" w:hAnsi="Calibri"/>
                <w:b/>
                <w:color w:val="1D3557"/>
                <w:sz w:val="20"/>
              </w:rPr>
              <w:t xml:space="preserve">[EXECUTIVE STRATEGIC TAKEAWAY] </w:t>
            </w:r>
            <w:r>
              <w:rPr>
                <w:rFonts w:ascii="Calibri" w:hAnsi="Calibri"/>
                <w:i/>
                <w:color w:val="2B2D42"/>
                <w:sz w:val="20"/>
              </w:rPr>
              <w:t>Enterprise Core Takeaway: High gross revenue does not ensure commercial viability. The Superstore generates over $740,000 in Furniture sales that return virtually zero net profit due to heavy discounting in Tables and Bookcases. Restricting promotional discounting to a strict 20% ceiling represents the single highest-leverage opportunity to unlock enterprise profitability.</w:t>
            </w:r>
          </w:p>
        </w:tc>
      </w:tr>
    </w:tbl>
    <w:p>
      <w:pPr>
        <w:spacing w:after="40"/>
      </w:pPr>
    </w:p>
    <w:p>
      <w:pPr>
        <w:keepNext/>
        <w:spacing w:before="320" w:after="120"/>
      </w:pPr>
      <w:r>
        <w:rPr>
          <w:rFonts w:ascii="Calibri" w:hAnsi="Calibri"/>
          <w:b/>
          <w:color w:val="1D3557"/>
          <w:sz w:val="34"/>
        </w:rPr>
        <w:t>2. INTRODUCTION &amp; PROJECT OBJECTIVES</w:t>
      </w:r>
    </w:p>
    <w:p>
      <w:pPr>
        <w:keepNext/>
        <w:spacing w:before="240" w:after="80"/>
      </w:pPr>
      <w:r>
        <w:rPr>
          <w:rFonts w:ascii="Calibri" w:hAnsi="Calibri"/>
          <w:b/>
          <w:color w:val="457B9D"/>
          <w:sz w:val="27"/>
        </w:rPr>
        <w:t>2.1 The Paradigm of Visual Analytics in Commercial Intelligence</w:t>
      </w:r>
    </w:p>
    <w:p>
      <w:pPr>
        <w:spacing w:after="80" w:line="276" w:lineRule="auto"/>
      </w:pPr>
      <w:r>
        <w:rPr>
          <w:rFonts w:ascii="Calibri" w:hAnsi="Calibri"/>
          <w:color w:val="2B2D42"/>
          <w:sz w:val="22"/>
        </w:rPr>
        <w:t>In modern data-driven enterprises, tabular spreadsheets and summary aggregates frequently conceal critical operational inefficiencies. Summary metrics such as overall sales volume or arithmetic average profit can easily mask severe margin erosion occurring within specific departments, geographic zones, or promotional channels. Visual analytics—defined as the science of analytical reasoning facilitated by interactive and declarative graphical interfaces—bridges the gap between complex multidimensional data structures and executive decision-making. By mapping quantitative and categorical attributes to preattentive visual encodings (such as spatial position, length, and diverging hue), data analysts enable stakeholders to rapidly detect patterns, trends, non-linear relationships, and isolated anomalies that remain invisible in raw data tables.</w:t>
      </w:r>
    </w:p>
    <w:p>
      <w:pPr>
        <w:keepNext/>
        <w:spacing w:before="240" w:after="80"/>
      </w:pPr>
      <w:r>
        <w:rPr>
          <w:rFonts w:ascii="Calibri" w:hAnsi="Calibri"/>
          <w:b/>
          <w:color w:val="457B9D"/>
          <w:sz w:val="27"/>
        </w:rPr>
        <w:t>2.2 Week 2 Internship Objectives</w:t>
      </w:r>
    </w:p>
    <w:p>
      <w:pPr>
        <w:spacing w:after="80" w:line="276" w:lineRule="auto"/>
      </w:pPr>
      <w:r>
        <w:rPr>
          <w:rFonts w:ascii="Calibri" w:hAnsi="Calibri"/>
          <w:color w:val="2B2D42"/>
          <w:sz w:val="22"/>
        </w:rPr>
        <w:t>The core objective of this Week 2 internship project is to execute a rigorous, end-to-end data visualization and insight communication workflow using R and ggplot2. The project demands far more than the superficial creation of charts; it requires a structured analytical inquiry wherein every visualization directly addresses a specific research question, is grounded in empirical statistical methods, and is accompanied by an in-depth, non-technical business interpretation.</w:t>
      </w:r>
    </w:p>
    <w:p>
      <w:pPr>
        <w:keepNext/>
        <w:spacing w:before="240" w:after="80"/>
      </w:pPr>
      <w:r>
        <w:rPr>
          <w:rFonts w:ascii="Calibri" w:hAnsi="Calibri"/>
          <w:b/>
          <w:color w:val="457B9D"/>
          <w:sz w:val="27"/>
        </w:rPr>
        <w:t>2.3 Business Context of the Superstore Enterprise</w:t>
      </w:r>
    </w:p>
    <w:p>
      <w:pPr>
        <w:spacing w:after="80" w:line="276" w:lineRule="auto"/>
      </w:pPr>
      <w:r>
        <w:rPr>
          <w:rFonts w:ascii="Calibri" w:hAnsi="Calibri"/>
          <w:color w:val="2B2D42"/>
          <w:sz w:val="22"/>
        </w:rPr>
        <w:t>The analyzed dataset captures the retail transactions of 'Superstore,' a fictional national business-to-business and business-to-consumer merchandise supplier operating across the United States. Superstore distributes three core product categories—Furniture, Office Supplies, and Technology—segmented into 17 distinct sub-categories. It serves three distinct customer constituencies: individual retail Consumers, Corporate enterprises, and Small Office/Home Office (Home Office) clients. Orders are fulfilled across four geographic quadrants (West, East, Central, and South) utilizing four distinct logistics shipping modes (Same Day, First Class, Second Class, and Standard Class).</w:t>
      </w:r>
    </w:p>
    <w:p>
      <w:pPr>
        <w:keepNext/>
        <w:spacing w:before="240" w:after="80"/>
      </w:pPr>
      <w:r>
        <w:rPr>
          <w:rFonts w:ascii="Calibri" w:hAnsi="Calibri"/>
          <w:b/>
          <w:color w:val="457B9D"/>
          <w:sz w:val="27"/>
        </w:rPr>
        <w:t>2.4 Guiding Research Questions</w:t>
      </w:r>
    </w:p>
    <w:p>
      <w:pPr>
        <w:spacing w:after="80" w:line="276" w:lineRule="auto"/>
      </w:pPr>
      <w:r>
        <w:rPr>
          <w:rFonts w:ascii="Calibri" w:hAnsi="Calibri"/>
          <w:color w:val="2B2D42"/>
          <w:sz w:val="22"/>
        </w:rPr>
        <w:t>The quantitative investigation is structured around twelve interrelated research questions:</w:t>
      </w:r>
    </w:p>
    <w:p>
      <w:pPr>
        <w:pStyle w:val="ListBullet"/>
        <w:spacing w:after="60" w:line="276" w:lineRule="auto"/>
      </w:pPr>
      <w:r>
        <w:rPr>
          <w:rFonts w:ascii="Calibri" w:hAnsi="Calibri"/>
          <w:b/>
          <w:color w:val="1D3557"/>
          <w:sz w:val="22"/>
        </w:rPr>
        <w:t xml:space="preserve">RQ1 (Category Sales): </w:t>
      </w:r>
      <w:r>
        <w:rPr>
          <w:rFonts w:ascii="Calibri" w:hAnsi="Calibri"/>
          <w:color w:val="2B2D42"/>
          <w:sz w:val="22"/>
        </w:rPr>
        <w:t>Which product categories generate the highest total sales revenue?</w:t>
      </w:r>
    </w:p>
    <w:p>
      <w:pPr>
        <w:pStyle w:val="ListBullet"/>
        <w:spacing w:after="60" w:line="276" w:lineRule="auto"/>
      </w:pPr>
      <w:r>
        <w:rPr>
          <w:rFonts w:ascii="Calibri" w:hAnsi="Calibri"/>
          <w:b/>
          <w:color w:val="1D3557"/>
          <w:sz w:val="22"/>
        </w:rPr>
        <w:t xml:space="preserve">RQ2 (Category Profit): </w:t>
      </w:r>
      <w:r>
        <w:rPr>
          <w:rFonts w:ascii="Calibri" w:hAnsi="Calibri"/>
          <w:color w:val="2B2D42"/>
          <w:sz w:val="22"/>
        </w:rPr>
        <w:t>Do the highest sales categories simultaneously yield the highest total net profit?</w:t>
      </w:r>
    </w:p>
    <w:p>
      <w:pPr>
        <w:pStyle w:val="ListBullet"/>
        <w:spacing w:after="60" w:line="276" w:lineRule="auto"/>
      </w:pPr>
      <w:r>
        <w:rPr>
          <w:rFonts w:ascii="Calibri" w:hAnsi="Calibri"/>
          <w:b/>
          <w:color w:val="1D3557"/>
          <w:sz w:val="22"/>
        </w:rPr>
        <w:t xml:space="preserve">RQ3 (Sales Distribution): </w:t>
      </w:r>
      <w:r>
        <w:rPr>
          <w:rFonts w:ascii="Calibri" w:hAnsi="Calibri"/>
          <w:color w:val="2B2D42"/>
          <w:sz w:val="22"/>
        </w:rPr>
        <w:t>What is the underlying distributional shape and skewness of individual transaction sales?</w:t>
      </w:r>
    </w:p>
    <w:p>
      <w:pPr>
        <w:pStyle w:val="ListBullet"/>
        <w:spacing w:after="60" w:line="276" w:lineRule="auto"/>
      </w:pPr>
      <w:r>
        <w:rPr>
          <w:rFonts w:ascii="Calibri" w:hAnsi="Calibri"/>
          <w:b/>
          <w:color w:val="1D3557"/>
          <w:sz w:val="22"/>
        </w:rPr>
        <w:t xml:space="preserve">RQ4 (Profit Distribution): </w:t>
      </w:r>
      <w:r>
        <w:rPr>
          <w:rFonts w:ascii="Calibri" w:hAnsi="Calibri"/>
          <w:color w:val="2B2D42"/>
          <w:sz w:val="22"/>
        </w:rPr>
        <w:t>How are transaction-level profits distributed, and what proportion operates at an outright loss?</w:t>
      </w:r>
    </w:p>
    <w:p>
      <w:pPr>
        <w:pStyle w:val="ListBullet"/>
        <w:spacing w:after="60" w:line="276" w:lineRule="auto"/>
      </w:pPr>
      <w:r>
        <w:rPr>
          <w:rFonts w:ascii="Calibri" w:hAnsi="Calibri"/>
          <w:b/>
          <w:color w:val="1D3557"/>
          <w:sz w:val="22"/>
        </w:rPr>
        <w:t xml:space="preserve">RQ5 (Time-Series Trajectory): </w:t>
      </w:r>
      <w:r>
        <w:rPr>
          <w:rFonts w:ascii="Calibri" w:hAnsi="Calibri"/>
          <w:color w:val="2B2D42"/>
          <w:sz w:val="22"/>
        </w:rPr>
        <w:t>How do sales volumes evolve over time, and do recurring seasonal patterns emerge?</w:t>
      </w:r>
    </w:p>
    <w:p>
      <w:pPr>
        <w:pStyle w:val="ListBullet"/>
        <w:spacing w:after="60" w:line="276" w:lineRule="auto"/>
      </w:pPr>
      <w:r>
        <w:rPr>
          <w:rFonts w:ascii="Calibri" w:hAnsi="Calibri"/>
          <w:b/>
          <w:color w:val="1D3557"/>
          <w:sz w:val="22"/>
        </w:rPr>
        <w:t xml:space="preserve">RQ6 (Discount vs Profit): </w:t>
      </w:r>
      <w:r>
        <w:rPr>
          <w:rFonts w:ascii="Calibri" w:hAnsi="Calibri"/>
          <w:color w:val="2B2D42"/>
          <w:sz w:val="22"/>
        </w:rPr>
        <w:t>What observable empirical association exists between promotional discount rates and net profit?</w:t>
      </w:r>
    </w:p>
    <w:p>
      <w:pPr>
        <w:pStyle w:val="ListBullet"/>
        <w:spacing w:after="60" w:line="276" w:lineRule="auto"/>
      </w:pPr>
      <w:r>
        <w:rPr>
          <w:rFonts w:ascii="Calibri" w:hAnsi="Calibri"/>
          <w:b/>
          <w:color w:val="1D3557"/>
          <w:sz w:val="22"/>
        </w:rPr>
        <w:t xml:space="preserve">RQ7 (Sales vs Profit): </w:t>
      </w:r>
      <w:r>
        <w:rPr>
          <w:rFonts w:ascii="Calibri" w:hAnsi="Calibri"/>
          <w:color w:val="2B2D42"/>
          <w:sz w:val="22"/>
        </w:rPr>
        <w:t>Does a higher individual transaction sales value consistently guarantee higher net profit?</w:t>
      </w:r>
    </w:p>
    <w:p>
      <w:pPr>
        <w:pStyle w:val="ListBullet"/>
        <w:spacing w:after="60" w:line="276" w:lineRule="auto"/>
      </w:pPr>
      <w:r>
        <w:rPr>
          <w:rFonts w:ascii="Calibri" w:hAnsi="Calibri"/>
          <w:b/>
          <w:color w:val="1D3557"/>
          <w:sz w:val="22"/>
        </w:rPr>
        <w:t xml:space="preserve">RQ8 (Regional Dynamics): </w:t>
      </w:r>
      <w:r>
        <w:rPr>
          <w:rFonts w:ascii="Calibri" w:hAnsi="Calibri"/>
          <w:color w:val="2B2D42"/>
          <w:sz w:val="22"/>
        </w:rPr>
        <w:t>Which geographic regions generate superior sales and profit, and where does margin erosion concentrate?</w:t>
      </w:r>
    </w:p>
    <w:p>
      <w:pPr>
        <w:pStyle w:val="ListBullet"/>
        <w:spacing w:after="60" w:line="276" w:lineRule="auto"/>
      </w:pPr>
      <w:r>
        <w:rPr>
          <w:rFonts w:ascii="Calibri" w:hAnsi="Calibri"/>
          <w:b/>
          <w:color w:val="1D3557"/>
          <w:sz w:val="22"/>
        </w:rPr>
        <w:t xml:space="preserve">RQ9 (Customer Segments): </w:t>
      </w:r>
      <w:r>
        <w:rPr>
          <w:rFonts w:ascii="Calibri" w:hAnsi="Calibri"/>
          <w:color w:val="2B2D42"/>
          <w:sz w:val="22"/>
        </w:rPr>
        <w:t>How do commercial customer segments differ across sales volume, order frequency, and profitability?</w:t>
      </w:r>
    </w:p>
    <w:p>
      <w:pPr>
        <w:pStyle w:val="ListBullet"/>
        <w:spacing w:after="60" w:line="276" w:lineRule="auto"/>
      </w:pPr>
      <w:r>
        <w:rPr>
          <w:rFonts w:ascii="Calibri" w:hAnsi="Calibri"/>
          <w:b/>
          <w:color w:val="1D3557"/>
          <w:sz w:val="22"/>
        </w:rPr>
        <w:t xml:space="preserve">RQ10 (Sub-Category Profit): </w:t>
      </w:r>
      <w:r>
        <w:rPr>
          <w:rFonts w:ascii="Calibri" w:hAnsi="Calibri"/>
          <w:color w:val="2B2D42"/>
          <w:sz w:val="22"/>
        </w:rPr>
        <w:t>Which specific product sub-categories act as primary profit drivers, and which operate as structural deficits?</w:t>
      </w:r>
    </w:p>
    <w:p>
      <w:pPr>
        <w:pStyle w:val="ListBullet"/>
        <w:spacing w:after="60" w:line="276" w:lineRule="auto"/>
      </w:pPr>
      <w:r>
        <w:rPr>
          <w:rFonts w:ascii="Calibri" w:hAnsi="Calibri"/>
          <w:b/>
          <w:color w:val="1D3557"/>
          <w:sz w:val="22"/>
        </w:rPr>
        <w:t xml:space="preserve">RQ11 (Outlier Forensics): </w:t>
      </w:r>
      <w:r>
        <w:rPr>
          <w:rFonts w:ascii="Calibri" w:hAnsi="Calibri"/>
          <w:color w:val="2B2D42"/>
          <w:sz w:val="22"/>
        </w:rPr>
        <w:t>Are extreme outlier transactions driven by data recording errors or legitimate commercial purchases?</w:t>
      </w:r>
    </w:p>
    <w:p>
      <w:pPr>
        <w:pStyle w:val="ListBullet"/>
        <w:spacing w:after="60" w:line="276" w:lineRule="auto"/>
      </w:pPr>
      <w:r>
        <w:rPr>
          <w:rFonts w:ascii="Calibri" w:hAnsi="Calibri"/>
          <w:b/>
          <w:color w:val="1D3557"/>
          <w:sz w:val="22"/>
        </w:rPr>
        <w:t xml:space="preserve">RQ12 (Cross-Chart Synthesis): </w:t>
      </w:r>
      <w:r>
        <w:rPr>
          <w:rFonts w:ascii="Calibri" w:hAnsi="Calibri"/>
          <w:color w:val="2B2D42"/>
          <w:sz w:val="22"/>
        </w:rPr>
        <w:t>How do cross-chart findings synthesize into a cohesive, evidence-based narrative for leadership?</w:t>
      </w:r>
    </w:p>
    <w:p>
      <w:r>
        <w:br w:type="page"/>
      </w:r>
    </w:p>
    <w:p>
      <w:pPr>
        <w:keepNext/>
        <w:spacing w:before="320" w:after="120"/>
      </w:pPr>
      <w:r>
        <w:rPr>
          <w:rFonts w:ascii="Calibri" w:hAnsi="Calibri"/>
          <w:b/>
          <w:color w:val="1D3557"/>
          <w:sz w:val="34"/>
        </w:rPr>
        <w:t>3. DATASET DESCRIPTION &amp; ARCHITECTURE</w:t>
      </w:r>
    </w:p>
    <w:p>
      <w:pPr>
        <w:keepNext/>
        <w:spacing w:before="240" w:after="80"/>
      </w:pPr>
      <w:r>
        <w:rPr>
          <w:rFonts w:ascii="Calibri" w:hAnsi="Calibri"/>
          <w:b/>
          <w:color w:val="457B9D"/>
          <w:sz w:val="27"/>
        </w:rPr>
        <w:t>3.1 Provenance and Acquisition</w:t>
      </w:r>
    </w:p>
    <w:p>
      <w:pPr>
        <w:spacing w:after="80" w:line="276" w:lineRule="auto"/>
      </w:pPr>
      <w:r>
        <w:rPr>
          <w:rFonts w:ascii="Calibri" w:hAnsi="Calibri"/>
          <w:color w:val="2B2D42"/>
          <w:sz w:val="22"/>
        </w:rPr>
        <w:t>The dataset utilized in this project was obtained from the Kaggle Superstore Sales Dataset repository (https://www.kaggle.com/datasets/vivek468/superstore-dataset-final). The source archive was verified and ingested directly from the local download cache (Superstore.csv) into the project's data/raw/ directory. No synthetic rows were introduced, and no external records were substituted.</w:t>
      </w:r>
    </w:p>
    <w:p>
      <w:pPr>
        <w:keepNext/>
        <w:spacing w:before="240" w:after="80"/>
      </w:pPr>
      <w:r>
        <w:rPr>
          <w:rFonts w:ascii="Calibri" w:hAnsi="Calibri"/>
          <w:b/>
          <w:color w:val="457B9D"/>
          <w:sz w:val="27"/>
        </w:rPr>
        <w:t>3.2 Dataset Architecture and Scope</w:t>
      </w:r>
    </w:p>
    <w:p>
      <w:pPr>
        <w:spacing w:after="80" w:line="276" w:lineRule="auto"/>
      </w:pPr>
      <w:r>
        <w:rPr>
          <w:rFonts w:ascii="Calibri" w:hAnsi="Calibri"/>
          <w:color w:val="2B2D42"/>
          <w:sz w:val="22"/>
        </w:rPr>
        <w:t>The raw dataset consists of exactly 9,994 rows and 21 columns. The observational unit represents an individual line-item SKU within a commercial customer order. Because a single order can encompass multiple products, the dataset contains 5,009 unique Order IDs representing 9,994 transaction line items. The temporal horizon spans exactly four calendar years, with order placement dates ranging from January 4, 2011, to December 31, 2014, and shipment fulfillment dates extending to January 6, 2015. Geographically, the dataset encompasses 49 US states and 531 individual cities.</w:t>
      </w:r>
    </w:p>
    <w:p>
      <w:pPr>
        <w:keepNext/>
        <w:spacing w:before="240" w:after="80"/>
      </w:pPr>
      <w:r>
        <w:rPr>
          <w:rFonts w:ascii="Calibri" w:hAnsi="Calibri"/>
          <w:b/>
          <w:color w:val="457B9D"/>
          <w:sz w:val="27"/>
        </w:rPr>
        <w:t>3.3 Comprehensive Variable Dictionary</w:t>
      </w:r>
    </w:p>
    <w:p>
      <w:pPr>
        <w:spacing w:after="80" w:line="276" w:lineRule="auto"/>
      </w:pPr>
      <w:r>
        <w:rPr>
          <w:rFonts w:ascii="Calibri" w:hAnsi="Calibri"/>
          <w:color w:val="2B2D42"/>
          <w:sz w:val="22"/>
        </w:rPr>
        <w:t>Table 1 provides an exhaustive architectural reference for all 21 raw variables present in the Superstore dataset.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016"/>
            <w:shd w:fill="1D3557"/>
            <w:tcMar>
              <w:top w:w="100" w:type="dxa"/>
              <w:bottom w:w="100" w:type="dxa"/>
              <w:left w:w="120" w:type="dxa"/>
              <w:right w:w="120" w:type="dxa"/>
            </w:tcMar>
          </w:tcPr>
          <w:p>
            <w:pPr>
              <w:jc w:val="left"/>
            </w:pPr>
            <w:r>
              <w:rPr>
                <w:rFonts w:ascii="Calibri" w:hAnsi="Calibri"/>
                <w:b/>
                <w:color w:val="FFFFFF"/>
                <w:sz w:val="19"/>
              </w:rPr>
              <w:t>Variable Name</w:t>
            </w:r>
          </w:p>
        </w:tc>
        <w:tc>
          <w:tcPr>
            <w:tcW w:type="dxa" w:w="1440"/>
            <w:shd w:fill="1D3557"/>
            <w:tcMar>
              <w:top w:w="100" w:type="dxa"/>
              <w:bottom w:w="100" w:type="dxa"/>
              <w:left w:w="120" w:type="dxa"/>
              <w:right w:w="120" w:type="dxa"/>
            </w:tcMar>
          </w:tcPr>
          <w:p>
            <w:pPr>
              <w:jc w:val="left"/>
            </w:pPr>
            <w:r>
              <w:rPr>
                <w:rFonts w:ascii="Calibri" w:hAnsi="Calibri"/>
                <w:b/>
                <w:color w:val="FFFFFF"/>
                <w:sz w:val="19"/>
              </w:rPr>
              <w:t>Storage Type</w:t>
            </w:r>
          </w:p>
        </w:tc>
        <w:tc>
          <w:tcPr>
            <w:tcW w:type="dxa" w:w="1584"/>
            <w:shd w:fill="1D3557"/>
            <w:tcMar>
              <w:top w:w="100" w:type="dxa"/>
              <w:bottom w:w="100" w:type="dxa"/>
              <w:left w:w="120" w:type="dxa"/>
              <w:right w:w="120" w:type="dxa"/>
            </w:tcMar>
          </w:tcPr>
          <w:p>
            <w:pPr>
              <w:jc w:val="left"/>
            </w:pPr>
            <w:r>
              <w:rPr>
                <w:rFonts w:ascii="Calibri" w:hAnsi="Calibri"/>
                <w:b/>
                <w:color w:val="FFFFFF"/>
                <w:sz w:val="19"/>
              </w:rPr>
              <w:t>Domain Class</w:t>
            </w:r>
          </w:p>
        </w:tc>
        <w:tc>
          <w:tcPr>
            <w:tcW w:type="dxa" w:w="4320"/>
            <w:shd w:fill="1D3557"/>
            <w:tcMar>
              <w:top w:w="100" w:type="dxa"/>
              <w:bottom w:w="100" w:type="dxa"/>
              <w:left w:w="120" w:type="dxa"/>
              <w:right w:w="120" w:type="dxa"/>
            </w:tcMar>
          </w:tcPr>
          <w:p>
            <w:pPr>
              <w:jc w:val="right"/>
            </w:pPr>
            <w:r>
              <w:rPr>
                <w:rFonts w:ascii="Calibri" w:hAnsi="Calibri"/>
                <w:b/>
                <w:color w:val="FFFFFF"/>
                <w:sz w:val="19"/>
              </w:rPr>
              <w:t>Operational Definition &amp; Boundary Scope</w:t>
            </w:r>
          </w:p>
        </w:tc>
      </w:tr>
      <w:tr>
        <w:tc>
          <w:tcPr>
            <w:tcW w:type="dxa" w:w="2016"/>
            <w:shd w:fill="FFFFFF"/>
            <w:tcMar>
              <w:top w:w="80" w:type="dxa"/>
              <w:bottom w:w="80" w:type="dxa"/>
              <w:left w:w="120" w:type="dxa"/>
              <w:right w:w="120" w:type="dxa"/>
            </w:tcMar>
          </w:tcPr>
          <w:p>
            <w:pPr>
              <w:jc w:val="left"/>
            </w:pPr>
            <w:r>
              <w:rPr>
                <w:rFonts w:ascii="Calibri" w:hAnsi="Calibri"/>
                <w:color w:val="2B2D42"/>
                <w:sz w:val="18"/>
              </w:rPr>
              <w:t>Row ID</w:t>
            </w:r>
          </w:p>
        </w:tc>
        <w:tc>
          <w:tcPr>
            <w:tcW w:type="dxa" w:w="1440"/>
            <w:shd w:fill="FFFFFF"/>
            <w:tcMar>
              <w:top w:w="80" w:type="dxa"/>
              <w:bottom w:w="80" w:type="dxa"/>
              <w:left w:w="120" w:type="dxa"/>
              <w:right w:w="120" w:type="dxa"/>
            </w:tcMar>
          </w:tcPr>
          <w:p>
            <w:pPr>
              <w:jc w:val="left"/>
            </w:pPr>
            <w:r>
              <w:rPr>
                <w:rFonts w:ascii="Calibri" w:hAnsi="Calibri"/>
                <w:color w:val="2B2D42"/>
                <w:sz w:val="18"/>
              </w:rPr>
              <w:t>Integer</w:t>
            </w:r>
          </w:p>
        </w:tc>
        <w:tc>
          <w:tcPr>
            <w:tcW w:type="dxa" w:w="1584"/>
            <w:shd w:fill="FFFFFF"/>
            <w:tcMar>
              <w:top w:w="80" w:type="dxa"/>
              <w:bottom w:w="80" w:type="dxa"/>
              <w:left w:w="120" w:type="dxa"/>
              <w:right w:w="120" w:type="dxa"/>
            </w:tcMar>
          </w:tcPr>
          <w:p>
            <w:pPr>
              <w:jc w:val="left"/>
            </w:pPr>
            <w:r>
              <w:rPr>
                <w:rFonts w:ascii="Calibri" w:hAnsi="Calibri"/>
                <w:color w:val="2B2D42"/>
                <w:sz w:val="18"/>
              </w:rPr>
              <w:t>Identifier</w:t>
            </w:r>
          </w:p>
        </w:tc>
        <w:tc>
          <w:tcPr>
            <w:tcW w:type="dxa" w:w="4320"/>
            <w:shd w:fill="FFFFFF"/>
            <w:tcMar>
              <w:top w:w="80" w:type="dxa"/>
              <w:bottom w:w="80" w:type="dxa"/>
              <w:left w:w="120" w:type="dxa"/>
              <w:right w:w="120" w:type="dxa"/>
            </w:tcMar>
          </w:tcPr>
          <w:p>
            <w:pPr>
              <w:jc w:val="right"/>
            </w:pPr>
            <w:r>
              <w:rPr>
                <w:rFonts w:ascii="Calibri" w:hAnsi="Calibri"/>
                <w:color w:val="2B2D42"/>
                <w:sz w:val="18"/>
              </w:rPr>
              <w:t>Unique numerical row sequence key (1 to 9,994).</w:t>
            </w:r>
          </w:p>
        </w:tc>
      </w:tr>
      <w:tr>
        <w:tc>
          <w:tcPr>
            <w:tcW w:type="dxa" w:w="2016"/>
            <w:shd w:fill="F8F9FA"/>
            <w:tcMar>
              <w:top w:w="80" w:type="dxa"/>
              <w:bottom w:w="80" w:type="dxa"/>
              <w:left w:w="120" w:type="dxa"/>
              <w:right w:w="120" w:type="dxa"/>
            </w:tcMar>
          </w:tcPr>
          <w:p>
            <w:pPr>
              <w:jc w:val="left"/>
            </w:pPr>
            <w:r>
              <w:rPr>
                <w:rFonts w:ascii="Calibri" w:hAnsi="Calibri"/>
                <w:color w:val="2B2D42"/>
                <w:sz w:val="18"/>
              </w:rPr>
              <w:t>Order ID</w:t>
            </w:r>
          </w:p>
        </w:tc>
        <w:tc>
          <w:tcPr>
            <w:tcW w:type="dxa" w:w="1440"/>
            <w:shd w:fill="F8F9FA"/>
            <w:tcMar>
              <w:top w:w="80" w:type="dxa"/>
              <w:bottom w:w="80" w:type="dxa"/>
              <w:left w:w="120" w:type="dxa"/>
              <w:right w:w="120" w:type="dxa"/>
            </w:tcMar>
          </w:tcPr>
          <w:p>
            <w:pPr>
              <w:jc w:val="left"/>
            </w:pPr>
            <w:r>
              <w:rPr>
                <w:rFonts w:ascii="Calibri" w:hAnsi="Calibri"/>
                <w:color w:val="2B2D42"/>
                <w:sz w:val="18"/>
              </w:rPr>
              <w:t>String</w:t>
            </w:r>
          </w:p>
        </w:tc>
        <w:tc>
          <w:tcPr>
            <w:tcW w:type="dxa" w:w="1584"/>
            <w:shd w:fill="F8F9FA"/>
            <w:tcMar>
              <w:top w:w="80" w:type="dxa"/>
              <w:bottom w:w="80" w:type="dxa"/>
              <w:left w:w="120" w:type="dxa"/>
              <w:right w:w="120" w:type="dxa"/>
            </w:tcMar>
          </w:tcPr>
          <w:p>
            <w:pPr>
              <w:jc w:val="left"/>
            </w:pPr>
            <w:r>
              <w:rPr>
                <w:rFonts w:ascii="Calibri" w:hAnsi="Calibri"/>
                <w:color w:val="2B2D42"/>
                <w:sz w:val="18"/>
              </w:rPr>
              <w:t>Grouping Key</w:t>
            </w:r>
          </w:p>
        </w:tc>
        <w:tc>
          <w:tcPr>
            <w:tcW w:type="dxa" w:w="4320"/>
            <w:shd w:fill="F8F9FA"/>
            <w:tcMar>
              <w:top w:w="80" w:type="dxa"/>
              <w:bottom w:w="80" w:type="dxa"/>
              <w:left w:w="120" w:type="dxa"/>
              <w:right w:w="120" w:type="dxa"/>
            </w:tcMar>
          </w:tcPr>
          <w:p>
            <w:pPr>
              <w:jc w:val="right"/>
            </w:pPr>
            <w:r>
              <w:rPr>
                <w:rFonts w:ascii="Calibri" w:hAnsi="Calibri"/>
                <w:color w:val="2B2D42"/>
                <w:sz w:val="18"/>
              </w:rPr>
              <w:t>Unique alphanumeric transaction code (e.g., CA-2013-152156). Repeated for multi-item orders.</w:t>
            </w:r>
          </w:p>
        </w:tc>
      </w:tr>
      <w:tr>
        <w:tc>
          <w:tcPr>
            <w:tcW w:type="dxa" w:w="2016"/>
            <w:shd w:fill="FFFFFF"/>
            <w:tcMar>
              <w:top w:w="80" w:type="dxa"/>
              <w:bottom w:w="80" w:type="dxa"/>
              <w:left w:w="120" w:type="dxa"/>
              <w:right w:w="120" w:type="dxa"/>
            </w:tcMar>
          </w:tcPr>
          <w:p>
            <w:pPr>
              <w:jc w:val="left"/>
            </w:pPr>
            <w:r>
              <w:rPr>
                <w:rFonts w:ascii="Calibri" w:hAnsi="Calibri"/>
                <w:color w:val="2B2D42"/>
                <w:sz w:val="18"/>
              </w:rPr>
              <w:t>Order Date</w:t>
            </w:r>
          </w:p>
        </w:tc>
        <w:tc>
          <w:tcPr>
            <w:tcW w:type="dxa" w:w="1440"/>
            <w:shd w:fill="FFFFFF"/>
            <w:tcMar>
              <w:top w:w="80" w:type="dxa"/>
              <w:bottom w:w="80" w:type="dxa"/>
              <w:left w:w="120" w:type="dxa"/>
              <w:right w:w="120" w:type="dxa"/>
            </w:tcMar>
          </w:tcPr>
          <w:p>
            <w:pPr>
              <w:jc w:val="left"/>
            </w:pPr>
            <w:r>
              <w:rPr>
                <w:rFonts w:ascii="Calibri" w:hAnsi="Calibri"/>
                <w:color w:val="2B2D42"/>
                <w:sz w:val="18"/>
              </w:rPr>
              <w:t>Date / String</w:t>
            </w:r>
          </w:p>
        </w:tc>
        <w:tc>
          <w:tcPr>
            <w:tcW w:type="dxa" w:w="1584"/>
            <w:shd w:fill="FFFFFF"/>
            <w:tcMar>
              <w:top w:w="80" w:type="dxa"/>
              <w:bottom w:w="80" w:type="dxa"/>
              <w:left w:w="120" w:type="dxa"/>
              <w:right w:w="120" w:type="dxa"/>
            </w:tcMar>
          </w:tcPr>
          <w:p>
            <w:pPr>
              <w:jc w:val="left"/>
            </w:pPr>
            <w:r>
              <w:rPr>
                <w:rFonts w:ascii="Calibri" w:hAnsi="Calibri"/>
                <w:color w:val="2B2D42"/>
                <w:sz w:val="18"/>
              </w:rPr>
              <w:t>Temporal</w:t>
            </w:r>
          </w:p>
        </w:tc>
        <w:tc>
          <w:tcPr>
            <w:tcW w:type="dxa" w:w="4320"/>
            <w:shd w:fill="FFFFFF"/>
            <w:tcMar>
              <w:top w:w="80" w:type="dxa"/>
              <w:bottom w:w="80" w:type="dxa"/>
              <w:left w:w="120" w:type="dxa"/>
              <w:right w:w="120" w:type="dxa"/>
            </w:tcMar>
          </w:tcPr>
          <w:p>
            <w:pPr>
              <w:jc w:val="left"/>
            </w:pPr>
            <w:r>
              <w:rPr>
                <w:rFonts w:ascii="Calibri" w:hAnsi="Calibri"/>
                <w:color w:val="2B2D42"/>
                <w:sz w:val="18"/>
              </w:rPr>
              <w:t>Date when the customer placed the order. Raw string formatted as DD-MM-YYYY.</w:t>
            </w:r>
          </w:p>
        </w:tc>
      </w:tr>
      <w:tr>
        <w:tc>
          <w:tcPr>
            <w:tcW w:type="dxa" w:w="2016"/>
            <w:shd w:fill="F8F9FA"/>
            <w:tcMar>
              <w:top w:w="80" w:type="dxa"/>
              <w:bottom w:w="80" w:type="dxa"/>
              <w:left w:w="120" w:type="dxa"/>
              <w:right w:w="120" w:type="dxa"/>
            </w:tcMar>
          </w:tcPr>
          <w:p>
            <w:pPr>
              <w:jc w:val="left"/>
            </w:pPr>
            <w:r>
              <w:rPr>
                <w:rFonts w:ascii="Calibri" w:hAnsi="Calibri"/>
                <w:color w:val="2B2D42"/>
                <w:sz w:val="18"/>
              </w:rPr>
              <w:t>Ship Date</w:t>
            </w:r>
          </w:p>
        </w:tc>
        <w:tc>
          <w:tcPr>
            <w:tcW w:type="dxa" w:w="1440"/>
            <w:shd w:fill="F8F9FA"/>
            <w:tcMar>
              <w:top w:w="80" w:type="dxa"/>
              <w:bottom w:w="80" w:type="dxa"/>
              <w:left w:w="120" w:type="dxa"/>
              <w:right w:w="120" w:type="dxa"/>
            </w:tcMar>
          </w:tcPr>
          <w:p>
            <w:pPr>
              <w:jc w:val="left"/>
            </w:pPr>
            <w:r>
              <w:rPr>
                <w:rFonts w:ascii="Calibri" w:hAnsi="Calibri"/>
                <w:color w:val="2B2D42"/>
                <w:sz w:val="18"/>
              </w:rPr>
              <w:t>Date / String</w:t>
            </w:r>
          </w:p>
        </w:tc>
        <w:tc>
          <w:tcPr>
            <w:tcW w:type="dxa" w:w="1584"/>
            <w:shd w:fill="F8F9FA"/>
            <w:tcMar>
              <w:top w:w="80" w:type="dxa"/>
              <w:bottom w:w="80" w:type="dxa"/>
              <w:left w:w="120" w:type="dxa"/>
              <w:right w:w="120" w:type="dxa"/>
            </w:tcMar>
          </w:tcPr>
          <w:p>
            <w:pPr>
              <w:jc w:val="left"/>
            </w:pPr>
            <w:r>
              <w:rPr>
                <w:rFonts w:ascii="Calibri" w:hAnsi="Calibri"/>
                <w:color w:val="2B2D42"/>
                <w:sz w:val="18"/>
              </w:rPr>
              <w:t>Temporal</w:t>
            </w:r>
          </w:p>
        </w:tc>
        <w:tc>
          <w:tcPr>
            <w:tcW w:type="dxa" w:w="4320"/>
            <w:shd w:fill="F8F9FA"/>
            <w:tcMar>
              <w:top w:w="80" w:type="dxa"/>
              <w:bottom w:w="80" w:type="dxa"/>
              <w:left w:w="120" w:type="dxa"/>
              <w:right w:w="120" w:type="dxa"/>
            </w:tcMar>
          </w:tcPr>
          <w:p>
            <w:pPr>
              <w:jc w:val="left"/>
            </w:pPr>
            <w:r>
              <w:rPr>
                <w:rFonts w:ascii="Calibri" w:hAnsi="Calibri"/>
                <w:color w:val="2B2D42"/>
                <w:sz w:val="18"/>
              </w:rPr>
              <w:t>Date when the order departed the fulfillment warehouse (DD-MM-YYYY).</w:t>
            </w:r>
          </w:p>
        </w:tc>
      </w:tr>
      <w:tr>
        <w:tc>
          <w:tcPr>
            <w:tcW w:type="dxa" w:w="2016"/>
            <w:shd w:fill="FFFFFF"/>
            <w:tcMar>
              <w:top w:w="80" w:type="dxa"/>
              <w:bottom w:w="80" w:type="dxa"/>
              <w:left w:w="120" w:type="dxa"/>
              <w:right w:w="120" w:type="dxa"/>
            </w:tcMar>
          </w:tcPr>
          <w:p>
            <w:pPr>
              <w:jc w:val="left"/>
            </w:pPr>
            <w:r>
              <w:rPr>
                <w:rFonts w:ascii="Calibri" w:hAnsi="Calibri"/>
                <w:color w:val="2B2D42"/>
                <w:sz w:val="18"/>
              </w:rPr>
              <w:t>Ship Mode</w:t>
            </w:r>
          </w:p>
        </w:tc>
        <w:tc>
          <w:tcPr>
            <w:tcW w:type="dxa" w:w="1440"/>
            <w:shd w:fill="FFFFFF"/>
            <w:tcMar>
              <w:top w:w="80" w:type="dxa"/>
              <w:bottom w:w="80" w:type="dxa"/>
              <w:left w:w="120" w:type="dxa"/>
              <w:right w:w="120" w:type="dxa"/>
            </w:tcMar>
          </w:tcPr>
          <w:p>
            <w:pPr>
              <w:jc w:val="left"/>
            </w:pPr>
            <w:r>
              <w:rPr>
                <w:rFonts w:ascii="Calibri" w:hAnsi="Calibri"/>
                <w:color w:val="2B2D42"/>
                <w:sz w:val="18"/>
              </w:rPr>
              <w:t>Factor</w:t>
            </w:r>
          </w:p>
        </w:tc>
        <w:tc>
          <w:tcPr>
            <w:tcW w:type="dxa" w:w="1584"/>
            <w:shd w:fill="FFFFFF"/>
            <w:tcMar>
              <w:top w:w="80" w:type="dxa"/>
              <w:bottom w:w="80" w:type="dxa"/>
              <w:left w:w="120" w:type="dxa"/>
              <w:right w:w="120" w:type="dxa"/>
            </w:tcMar>
          </w:tcPr>
          <w:p>
            <w:pPr>
              <w:jc w:val="left"/>
            </w:pPr>
            <w:r>
              <w:rPr>
                <w:rFonts w:ascii="Calibri" w:hAnsi="Calibri"/>
                <w:color w:val="2B2D42"/>
                <w:sz w:val="18"/>
              </w:rPr>
              <w:t>Logistics</w:t>
            </w:r>
          </w:p>
        </w:tc>
        <w:tc>
          <w:tcPr>
            <w:tcW w:type="dxa" w:w="4320"/>
            <w:shd w:fill="FFFFFF"/>
            <w:tcMar>
              <w:top w:w="80" w:type="dxa"/>
              <w:bottom w:w="80" w:type="dxa"/>
              <w:left w:w="120" w:type="dxa"/>
              <w:right w:w="120" w:type="dxa"/>
            </w:tcMar>
          </w:tcPr>
          <w:p>
            <w:pPr>
              <w:jc w:val="left"/>
            </w:pPr>
            <w:r>
              <w:rPr>
                <w:rFonts w:ascii="Calibri" w:hAnsi="Calibri"/>
                <w:color w:val="2B2D42"/>
                <w:sz w:val="18"/>
              </w:rPr>
              <w:t>Delivery tier: Standard Class, Second Class, First Class, or Same Day.</w:t>
            </w:r>
          </w:p>
        </w:tc>
      </w:tr>
      <w:tr>
        <w:tc>
          <w:tcPr>
            <w:tcW w:type="dxa" w:w="2016"/>
            <w:shd w:fill="F8F9FA"/>
            <w:tcMar>
              <w:top w:w="80" w:type="dxa"/>
              <w:bottom w:w="80" w:type="dxa"/>
              <w:left w:w="120" w:type="dxa"/>
              <w:right w:w="120" w:type="dxa"/>
            </w:tcMar>
          </w:tcPr>
          <w:p>
            <w:pPr>
              <w:jc w:val="left"/>
            </w:pPr>
            <w:r>
              <w:rPr>
                <w:rFonts w:ascii="Calibri" w:hAnsi="Calibri"/>
                <w:color w:val="2B2D42"/>
                <w:sz w:val="18"/>
              </w:rPr>
              <w:t>Customer ID</w:t>
            </w:r>
          </w:p>
        </w:tc>
        <w:tc>
          <w:tcPr>
            <w:tcW w:type="dxa" w:w="1440"/>
            <w:shd w:fill="F8F9FA"/>
            <w:tcMar>
              <w:top w:w="80" w:type="dxa"/>
              <w:bottom w:w="80" w:type="dxa"/>
              <w:left w:w="120" w:type="dxa"/>
              <w:right w:w="120" w:type="dxa"/>
            </w:tcMar>
          </w:tcPr>
          <w:p>
            <w:pPr>
              <w:jc w:val="left"/>
            </w:pPr>
            <w:r>
              <w:rPr>
                <w:rFonts w:ascii="Calibri" w:hAnsi="Calibri"/>
                <w:color w:val="2B2D42"/>
                <w:sz w:val="18"/>
              </w:rPr>
              <w:t>String</w:t>
            </w:r>
          </w:p>
        </w:tc>
        <w:tc>
          <w:tcPr>
            <w:tcW w:type="dxa" w:w="1584"/>
            <w:shd w:fill="F8F9FA"/>
            <w:tcMar>
              <w:top w:w="80" w:type="dxa"/>
              <w:bottom w:w="80" w:type="dxa"/>
              <w:left w:w="120" w:type="dxa"/>
              <w:right w:w="120" w:type="dxa"/>
            </w:tcMar>
          </w:tcPr>
          <w:p>
            <w:pPr>
              <w:jc w:val="left"/>
            </w:pPr>
            <w:r>
              <w:rPr>
                <w:rFonts w:ascii="Calibri" w:hAnsi="Calibri"/>
                <w:color w:val="2B2D42"/>
                <w:sz w:val="18"/>
              </w:rPr>
              <w:t>Customer</w:t>
            </w:r>
          </w:p>
        </w:tc>
        <w:tc>
          <w:tcPr>
            <w:tcW w:type="dxa" w:w="4320"/>
            <w:shd w:fill="F8F9FA"/>
            <w:tcMar>
              <w:top w:w="80" w:type="dxa"/>
              <w:bottom w:w="80" w:type="dxa"/>
              <w:left w:w="120" w:type="dxa"/>
              <w:right w:w="120" w:type="dxa"/>
            </w:tcMar>
          </w:tcPr>
          <w:p>
            <w:pPr>
              <w:jc w:val="right"/>
            </w:pPr>
            <w:r>
              <w:rPr>
                <w:rFonts w:ascii="Calibri" w:hAnsi="Calibri"/>
                <w:color w:val="2B2D42"/>
                <w:sz w:val="18"/>
              </w:rPr>
              <w:t>Unique alphanumeric customer portfolio identifier (793 distinct accounts).</w:t>
            </w:r>
          </w:p>
        </w:tc>
      </w:tr>
      <w:tr>
        <w:tc>
          <w:tcPr>
            <w:tcW w:type="dxa" w:w="2016"/>
            <w:shd w:fill="FFFFFF"/>
            <w:tcMar>
              <w:top w:w="80" w:type="dxa"/>
              <w:bottom w:w="80" w:type="dxa"/>
              <w:left w:w="120" w:type="dxa"/>
              <w:right w:w="120" w:type="dxa"/>
            </w:tcMar>
          </w:tcPr>
          <w:p>
            <w:pPr>
              <w:jc w:val="left"/>
            </w:pPr>
            <w:r>
              <w:rPr>
                <w:rFonts w:ascii="Calibri" w:hAnsi="Calibri"/>
                <w:color w:val="2B2D42"/>
                <w:sz w:val="18"/>
              </w:rPr>
              <w:t>Customer Name</w:t>
            </w:r>
          </w:p>
        </w:tc>
        <w:tc>
          <w:tcPr>
            <w:tcW w:type="dxa" w:w="1440"/>
            <w:shd w:fill="FFFFFF"/>
            <w:tcMar>
              <w:top w:w="80" w:type="dxa"/>
              <w:bottom w:w="80" w:type="dxa"/>
              <w:left w:w="120" w:type="dxa"/>
              <w:right w:w="120" w:type="dxa"/>
            </w:tcMar>
          </w:tcPr>
          <w:p>
            <w:pPr>
              <w:jc w:val="left"/>
            </w:pPr>
            <w:r>
              <w:rPr>
                <w:rFonts w:ascii="Calibri" w:hAnsi="Calibri"/>
                <w:color w:val="2B2D42"/>
                <w:sz w:val="18"/>
              </w:rPr>
              <w:t>String</w:t>
            </w:r>
          </w:p>
        </w:tc>
        <w:tc>
          <w:tcPr>
            <w:tcW w:type="dxa" w:w="1584"/>
            <w:shd w:fill="FFFFFF"/>
            <w:tcMar>
              <w:top w:w="80" w:type="dxa"/>
              <w:bottom w:w="80" w:type="dxa"/>
              <w:left w:w="120" w:type="dxa"/>
              <w:right w:w="120" w:type="dxa"/>
            </w:tcMar>
          </w:tcPr>
          <w:p>
            <w:pPr>
              <w:jc w:val="left"/>
            </w:pPr>
            <w:r>
              <w:rPr>
                <w:rFonts w:ascii="Calibri" w:hAnsi="Calibri"/>
                <w:color w:val="2B2D42"/>
                <w:sz w:val="18"/>
              </w:rPr>
              <w:t>Customer</w:t>
            </w:r>
          </w:p>
        </w:tc>
        <w:tc>
          <w:tcPr>
            <w:tcW w:type="dxa" w:w="4320"/>
            <w:shd w:fill="FFFFFF"/>
            <w:tcMar>
              <w:top w:w="80" w:type="dxa"/>
              <w:bottom w:w="80" w:type="dxa"/>
              <w:left w:w="120" w:type="dxa"/>
              <w:right w:w="120" w:type="dxa"/>
            </w:tcMar>
          </w:tcPr>
          <w:p>
            <w:pPr>
              <w:jc w:val="left"/>
            </w:pPr>
            <w:r>
              <w:rPr>
                <w:rFonts w:ascii="Calibri" w:hAnsi="Calibri"/>
                <w:color w:val="2B2D42"/>
                <w:sz w:val="18"/>
              </w:rPr>
              <w:t>Full name of the purchasing client or organization representative.</w:t>
            </w:r>
          </w:p>
        </w:tc>
      </w:tr>
      <w:tr>
        <w:tc>
          <w:tcPr>
            <w:tcW w:type="dxa" w:w="2016"/>
            <w:shd w:fill="F8F9FA"/>
            <w:tcMar>
              <w:top w:w="80" w:type="dxa"/>
              <w:bottom w:w="80" w:type="dxa"/>
              <w:left w:w="120" w:type="dxa"/>
              <w:right w:w="120" w:type="dxa"/>
            </w:tcMar>
          </w:tcPr>
          <w:p>
            <w:pPr>
              <w:jc w:val="left"/>
            </w:pPr>
            <w:r>
              <w:rPr>
                <w:rFonts w:ascii="Calibri" w:hAnsi="Calibri"/>
                <w:color w:val="2B2D42"/>
                <w:sz w:val="18"/>
              </w:rPr>
              <w:t>Segment</w:t>
            </w:r>
          </w:p>
        </w:tc>
        <w:tc>
          <w:tcPr>
            <w:tcW w:type="dxa" w:w="1440"/>
            <w:shd w:fill="F8F9FA"/>
            <w:tcMar>
              <w:top w:w="80" w:type="dxa"/>
              <w:bottom w:w="80" w:type="dxa"/>
              <w:left w:w="120" w:type="dxa"/>
              <w:right w:w="120" w:type="dxa"/>
            </w:tcMar>
          </w:tcPr>
          <w:p>
            <w:pPr>
              <w:jc w:val="left"/>
            </w:pPr>
            <w:r>
              <w:rPr>
                <w:rFonts w:ascii="Calibri" w:hAnsi="Calibri"/>
                <w:color w:val="2B2D42"/>
                <w:sz w:val="18"/>
              </w:rPr>
              <w:t>Factor</w:t>
            </w:r>
          </w:p>
        </w:tc>
        <w:tc>
          <w:tcPr>
            <w:tcW w:type="dxa" w:w="1584"/>
            <w:shd w:fill="F8F9FA"/>
            <w:tcMar>
              <w:top w:w="80" w:type="dxa"/>
              <w:bottom w:w="80" w:type="dxa"/>
              <w:left w:w="120" w:type="dxa"/>
              <w:right w:w="120" w:type="dxa"/>
            </w:tcMar>
          </w:tcPr>
          <w:p>
            <w:pPr>
              <w:jc w:val="left"/>
            </w:pPr>
            <w:r>
              <w:rPr>
                <w:rFonts w:ascii="Calibri" w:hAnsi="Calibri"/>
                <w:color w:val="2B2D42"/>
                <w:sz w:val="18"/>
              </w:rPr>
              <w:t>Marketing</w:t>
            </w:r>
          </w:p>
        </w:tc>
        <w:tc>
          <w:tcPr>
            <w:tcW w:type="dxa" w:w="4320"/>
            <w:shd w:fill="F8F9FA"/>
            <w:tcMar>
              <w:top w:w="80" w:type="dxa"/>
              <w:bottom w:w="80" w:type="dxa"/>
              <w:left w:w="120" w:type="dxa"/>
              <w:right w:w="120" w:type="dxa"/>
            </w:tcMar>
          </w:tcPr>
          <w:p>
            <w:pPr>
              <w:jc w:val="left"/>
            </w:pPr>
            <w:r>
              <w:rPr>
                <w:rFonts w:ascii="Calibri" w:hAnsi="Calibri"/>
                <w:color w:val="2B2D42"/>
                <w:sz w:val="18"/>
              </w:rPr>
              <w:t>Purchasing market classification: Consumer (Retail), Corporate, or Home Office.</w:t>
            </w:r>
          </w:p>
        </w:tc>
      </w:tr>
      <w:tr>
        <w:tc>
          <w:tcPr>
            <w:tcW w:type="dxa" w:w="2016"/>
            <w:shd w:fill="FFFFFF"/>
            <w:tcMar>
              <w:top w:w="80" w:type="dxa"/>
              <w:bottom w:w="80" w:type="dxa"/>
              <w:left w:w="120" w:type="dxa"/>
              <w:right w:w="120" w:type="dxa"/>
            </w:tcMar>
          </w:tcPr>
          <w:p>
            <w:pPr>
              <w:jc w:val="left"/>
            </w:pPr>
            <w:r>
              <w:rPr>
                <w:rFonts w:ascii="Calibri" w:hAnsi="Calibri"/>
                <w:color w:val="2B2D42"/>
                <w:sz w:val="18"/>
              </w:rPr>
              <w:t>Country</w:t>
            </w:r>
          </w:p>
        </w:tc>
        <w:tc>
          <w:tcPr>
            <w:tcW w:type="dxa" w:w="1440"/>
            <w:shd w:fill="FFFFFF"/>
            <w:tcMar>
              <w:top w:w="80" w:type="dxa"/>
              <w:bottom w:w="80" w:type="dxa"/>
              <w:left w:w="120" w:type="dxa"/>
              <w:right w:w="120" w:type="dxa"/>
            </w:tcMar>
          </w:tcPr>
          <w:p>
            <w:pPr>
              <w:jc w:val="left"/>
            </w:pPr>
            <w:r>
              <w:rPr>
                <w:rFonts w:ascii="Calibri" w:hAnsi="Calibri"/>
                <w:color w:val="2B2D42"/>
                <w:sz w:val="18"/>
              </w:rPr>
              <w:t>String</w:t>
            </w:r>
          </w:p>
        </w:tc>
        <w:tc>
          <w:tcPr>
            <w:tcW w:type="dxa" w:w="1584"/>
            <w:shd w:fill="FFFFFF"/>
            <w:tcMar>
              <w:top w:w="80" w:type="dxa"/>
              <w:bottom w:w="80" w:type="dxa"/>
              <w:left w:w="120" w:type="dxa"/>
              <w:right w:w="120" w:type="dxa"/>
            </w:tcMar>
          </w:tcPr>
          <w:p>
            <w:pPr>
              <w:jc w:val="left"/>
            </w:pPr>
            <w:r>
              <w:rPr>
                <w:rFonts w:ascii="Calibri" w:hAnsi="Calibri"/>
                <w:color w:val="2B2D42"/>
                <w:sz w:val="18"/>
              </w:rPr>
              <w:t>Geographic</w:t>
            </w:r>
          </w:p>
        </w:tc>
        <w:tc>
          <w:tcPr>
            <w:tcW w:type="dxa" w:w="4320"/>
            <w:shd w:fill="FFFFFF"/>
            <w:tcMar>
              <w:top w:w="80" w:type="dxa"/>
              <w:bottom w:w="80" w:type="dxa"/>
              <w:left w:w="120" w:type="dxa"/>
              <w:right w:w="120" w:type="dxa"/>
            </w:tcMar>
          </w:tcPr>
          <w:p>
            <w:pPr>
              <w:jc w:val="left"/>
            </w:pPr>
            <w:r>
              <w:rPr>
                <w:rFonts w:ascii="Calibri" w:hAnsi="Calibri"/>
                <w:color w:val="2B2D42"/>
                <w:sz w:val="18"/>
              </w:rPr>
              <w:t>Nation of transaction; invariant across all records ('United States').</w:t>
            </w:r>
          </w:p>
        </w:tc>
      </w:tr>
      <w:tr>
        <w:tc>
          <w:tcPr>
            <w:tcW w:type="dxa" w:w="2016"/>
            <w:shd w:fill="F8F9FA"/>
            <w:tcMar>
              <w:top w:w="80" w:type="dxa"/>
              <w:bottom w:w="80" w:type="dxa"/>
              <w:left w:w="120" w:type="dxa"/>
              <w:right w:w="120" w:type="dxa"/>
            </w:tcMar>
          </w:tcPr>
          <w:p>
            <w:pPr>
              <w:jc w:val="left"/>
            </w:pPr>
            <w:r>
              <w:rPr>
                <w:rFonts w:ascii="Calibri" w:hAnsi="Calibri"/>
                <w:color w:val="2B2D42"/>
                <w:sz w:val="18"/>
              </w:rPr>
              <w:t>City</w:t>
            </w:r>
          </w:p>
        </w:tc>
        <w:tc>
          <w:tcPr>
            <w:tcW w:type="dxa" w:w="1440"/>
            <w:shd w:fill="F8F9FA"/>
            <w:tcMar>
              <w:top w:w="80" w:type="dxa"/>
              <w:bottom w:w="80" w:type="dxa"/>
              <w:left w:w="120" w:type="dxa"/>
              <w:right w:w="120" w:type="dxa"/>
            </w:tcMar>
          </w:tcPr>
          <w:p>
            <w:pPr>
              <w:jc w:val="left"/>
            </w:pPr>
            <w:r>
              <w:rPr>
                <w:rFonts w:ascii="Calibri" w:hAnsi="Calibri"/>
                <w:color w:val="2B2D42"/>
                <w:sz w:val="18"/>
              </w:rPr>
              <w:t>String</w:t>
            </w:r>
          </w:p>
        </w:tc>
        <w:tc>
          <w:tcPr>
            <w:tcW w:type="dxa" w:w="1584"/>
            <w:shd w:fill="F8F9FA"/>
            <w:tcMar>
              <w:top w:w="80" w:type="dxa"/>
              <w:bottom w:w="80" w:type="dxa"/>
              <w:left w:w="120" w:type="dxa"/>
              <w:right w:w="120" w:type="dxa"/>
            </w:tcMar>
          </w:tcPr>
          <w:p>
            <w:pPr>
              <w:jc w:val="left"/>
            </w:pPr>
            <w:r>
              <w:rPr>
                <w:rFonts w:ascii="Calibri" w:hAnsi="Calibri"/>
                <w:color w:val="2B2D42"/>
                <w:sz w:val="18"/>
              </w:rPr>
              <w:t>Geographic</w:t>
            </w:r>
          </w:p>
        </w:tc>
        <w:tc>
          <w:tcPr>
            <w:tcW w:type="dxa" w:w="4320"/>
            <w:shd w:fill="F8F9FA"/>
            <w:tcMar>
              <w:top w:w="80" w:type="dxa"/>
              <w:bottom w:w="80" w:type="dxa"/>
              <w:left w:w="120" w:type="dxa"/>
              <w:right w:w="120" w:type="dxa"/>
            </w:tcMar>
          </w:tcPr>
          <w:p>
            <w:pPr>
              <w:jc w:val="right"/>
            </w:pPr>
            <w:r>
              <w:rPr>
                <w:rFonts w:ascii="Calibri" w:hAnsi="Calibri"/>
                <w:color w:val="2B2D42"/>
                <w:sz w:val="18"/>
              </w:rPr>
              <w:t>City of delivery destination (531 unique municipalities).</w:t>
            </w:r>
          </w:p>
        </w:tc>
      </w:tr>
      <w:tr>
        <w:tc>
          <w:tcPr>
            <w:tcW w:type="dxa" w:w="2016"/>
            <w:shd w:fill="FFFFFF"/>
            <w:tcMar>
              <w:top w:w="80" w:type="dxa"/>
              <w:bottom w:w="80" w:type="dxa"/>
              <w:left w:w="120" w:type="dxa"/>
              <w:right w:w="120" w:type="dxa"/>
            </w:tcMar>
          </w:tcPr>
          <w:p>
            <w:pPr>
              <w:jc w:val="left"/>
            </w:pPr>
            <w:r>
              <w:rPr>
                <w:rFonts w:ascii="Calibri" w:hAnsi="Calibri"/>
                <w:color w:val="2B2D42"/>
                <w:sz w:val="18"/>
              </w:rPr>
              <w:t>State</w:t>
            </w:r>
          </w:p>
        </w:tc>
        <w:tc>
          <w:tcPr>
            <w:tcW w:type="dxa" w:w="1440"/>
            <w:shd w:fill="FFFFFF"/>
            <w:tcMar>
              <w:top w:w="80" w:type="dxa"/>
              <w:bottom w:w="80" w:type="dxa"/>
              <w:left w:w="120" w:type="dxa"/>
              <w:right w:w="120" w:type="dxa"/>
            </w:tcMar>
          </w:tcPr>
          <w:p>
            <w:pPr>
              <w:jc w:val="left"/>
            </w:pPr>
            <w:r>
              <w:rPr>
                <w:rFonts w:ascii="Calibri" w:hAnsi="Calibri"/>
                <w:color w:val="2B2D42"/>
                <w:sz w:val="18"/>
              </w:rPr>
              <w:t>String</w:t>
            </w:r>
          </w:p>
        </w:tc>
        <w:tc>
          <w:tcPr>
            <w:tcW w:type="dxa" w:w="1584"/>
            <w:shd w:fill="FFFFFF"/>
            <w:tcMar>
              <w:top w:w="80" w:type="dxa"/>
              <w:bottom w:w="80" w:type="dxa"/>
              <w:left w:w="120" w:type="dxa"/>
              <w:right w:w="120" w:type="dxa"/>
            </w:tcMar>
          </w:tcPr>
          <w:p>
            <w:pPr>
              <w:jc w:val="left"/>
            </w:pPr>
            <w:r>
              <w:rPr>
                <w:rFonts w:ascii="Calibri" w:hAnsi="Calibri"/>
                <w:color w:val="2B2D42"/>
                <w:sz w:val="18"/>
              </w:rPr>
              <w:t>Geographic</w:t>
            </w:r>
          </w:p>
        </w:tc>
        <w:tc>
          <w:tcPr>
            <w:tcW w:type="dxa" w:w="4320"/>
            <w:shd w:fill="FFFFFF"/>
            <w:tcMar>
              <w:top w:w="80" w:type="dxa"/>
              <w:bottom w:w="80" w:type="dxa"/>
              <w:left w:w="120" w:type="dxa"/>
              <w:right w:w="120" w:type="dxa"/>
            </w:tcMar>
          </w:tcPr>
          <w:p>
            <w:pPr>
              <w:jc w:val="right"/>
            </w:pPr>
            <w:r>
              <w:rPr>
                <w:rFonts w:ascii="Calibri" w:hAnsi="Calibri"/>
                <w:color w:val="2B2D42"/>
                <w:sz w:val="18"/>
              </w:rPr>
              <w:t>State of delivery destination (49 US states represented).</w:t>
            </w:r>
          </w:p>
        </w:tc>
      </w:tr>
      <w:tr>
        <w:tc>
          <w:tcPr>
            <w:tcW w:type="dxa" w:w="2016"/>
            <w:shd w:fill="F8F9FA"/>
            <w:tcMar>
              <w:top w:w="80" w:type="dxa"/>
              <w:bottom w:w="80" w:type="dxa"/>
              <w:left w:w="120" w:type="dxa"/>
              <w:right w:w="120" w:type="dxa"/>
            </w:tcMar>
          </w:tcPr>
          <w:p>
            <w:pPr>
              <w:jc w:val="left"/>
            </w:pPr>
            <w:r>
              <w:rPr>
                <w:rFonts w:ascii="Calibri" w:hAnsi="Calibri"/>
                <w:color w:val="2B2D42"/>
                <w:sz w:val="18"/>
              </w:rPr>
              <w:t>Postal Code</w:t>
            </w:r>
          </w:p>
        </w:tc>
        <w:tc>
          <w:tcPr>
            <w:tcW w:type="dxa" w:w="1440"/>
            <w:shd w:fill="F8F9FA"/>
            <w:tcMar>
              <w:top w:w="80" w:type="dxa"/>
              <w:bottom w:w="80" w:type="dxa"/>
              <w:left w:w="120" w:type="dxa"/>
              <w:right w:w="120" w:type="dxa"/>
            </w:tcMar>
          </w:tcPr>
          <w:p>
            <w:pPr>
              <w:jc w:val="left"/>
            </w:pPr>
            <w:r>
              <w:rPr>
                <w:rFonts w:ascii="Calibri" w:hAnsi="Calibri"/>
                <w:color w:val="2B2D42"/>
                <w:sz w:val="18"/>
              </w:rPr>
              <w:t>String</w:t>
            </w:r>
          </w:p>
        </w:tc>
        <w:tc>
          <w:tcPr>
            <w:tcW w:type="dxa" w:w="1584"/>
            <w:shd w:fill="F8F9FA"/>
            <w:tcMar>
              <w:top w:w="80" w:type="dxa"/>
              <w:bottom w:w="80" w:type="dxa"/>
              <w:left w:w="120" w:type="dxa"/>
              <w:right w:w="120" w:type="dxa"/>
            </w:tcMar>
          </w:tcPr>
          <w:p>
            <w:pPr>
              <w:jc w:val="left"/>
            </w:pPr>
            <w:r>
              <w:rPr>
                <w:rFonts w:ascii="Calibri" w:hAnsi="Calibri"/>
                <w:color w:val="2B2D42"/>
                <w:sz w:val="18"/>
              </w:rPr>
              <w:t>Geographic</w:t>
            </w:r>
          </w:p>
        </w:tc>
        <w:tc>
          <w:tcPr>
            <w:tcW w:type="dxa" w:w="4320"/>
            <w:shd w:fill="F8F9FA"/>
            <w:tcMar>
              <w:top w:w="80" w:type="dxa"/>
              <w:bottom w:w="80" w:type="dxa"/>
              <w:left w:w="120" w:type="dxa"/>
              <w:right w:w="120" w:type="dxa"/>
            </w:tcMar>
          </w:tcPr>
          <w:p>
            <w:pPr>
              <w:jc w:val="left"/>
            </w:pPr>
            <w:r>
              <w:rPr>
                <w:rFonts w:ascii="Calibri" w:hAnsi="Calibri"/>
                <w:color w:val="2B2D42"/>
                <w:sz w:val="18"/>
              </w:rPr>
              <w:t>US ZIP code. Handled as string to preserve leading zeroes.</w:t>
            </w:r>
          </w:p>
        </w:tc>
      </w:tr>
      <w:tr>
        <w:tc>
          <w:tcPr>
            <w:tcW w:type="dxa" w:w="2016"/>
            <w:shd w:fill="FFFFFF"/>
            <w:tcMar>
              <w:top w:w="80" w:type="dxa"/>
              <w:bottom w:w="80" w:type="dxa"/>
              <w:left w:w="120" w:type="dxa"/>
              <w:right w:w="120" w:type="dxa"/>
            </w:tcMar>
          </w:tcPr>
          <w:p>
            <w:pPr>
              <w:jc w:val="left"/>
            </w:pPr>
            <w:r>
              <w:rPr>
                <w:rFonts w:ascii="Calibri" w:hAnsi="Calibri"/>
                <w:color w:val="2B2D42"/>
                <w:sz w:val="18"/>
              </w:rPr>
              <w:t>Region</w:t>
            </w:r>
          </w:p>
        </w:tc>
        <w:tc>
          <w:tcPr>
            <w:tcW w:type="dxa" w:w="1440"/>
            <w:shd w:fill="FFFFFF"/>
            <w:tcMar>
              <w:top w:w="80" w:type="dxa"/>
              <w:bottom w:w="80" w:type="dxa"/>
              <w:left w:w="120" w:type="dxa"/>
              <w:right w:w="120" w:type="dxa"/>
            </w:tcMar>
          </w:tcPr>
          <w:p>
            <w:pPr>
              <w:jc w:val="left"/>
            </w:pPr>
            <w:r>
              <w:rPr>
                <w:rFonts w:ascii="Calibri" w:hAnsi="Calibri"/>
                <w:color w:val="2B2D42"/>
                <w:sz w:val="18"/>
              </w:rPr>
              <w:t>Factor</w:t>
            </w:r>
          </w:p>
        </w:tc>
        <w:tc>
          <w:tcPr>
            <w:tcW w:type="dxa" w:w="1584"/>
            <w:shd w:fill="FFFFFF"/>
            <w:tcMar>
              <w:top w:w="80" w:type="dxa"/>
              <w:bottom w:w="80" w:type="dxa"/>
              <w:left w:w="120" w:type="dxa"/>
              <w:right w:w="120" w:type="dxa"/>
            </w:tcMar>
          </w:tcPr>
          <w:p>
            <w:pPr>
              <w:jc w:val="left"/>
            </w:pPr>
            <w:r>
              <w:rPr>
                <w:rFonts w:ascii="Calibri" w:hAnsi="Calibri"/>
                <w:color w:val="2B2D42"/>
                <w:sz w:val="18"/>
              </w:rPr>
              <w:t>Geographic</w:t>
            </w:r>
          </w:p>
        </w:tc>
        <w:tc>
          <w:tcPr>
            <w:tcW w:type="dxa" w:w="4320"/>
            <w:shd w:fill="FFFFFF"/>
            <w:tcMar>
              <w:top w:w="80" w:type="dxa"/>
              <w:bottom w:w="80" w:type="dxa"/>
              <w:left w:w="120" w:type="dxa"/>
              <w:right w:w="120" w:type="dxa"/>
            </w:tcMar>
          </w:tcPr>
          <w:p>
            <w:pPr>
              <w:jc w:val="left"/>
            </w:pPr>
            <w:r>
              <w:rPr>
                <w:rFonts w:ascii="Calibri" w:hAnsi="Calibri"/>
                <w:color w:val="2B2D42"/>
                <w:sz w:val="18"/>
              </w:rPr>
              <w:t>Macro-geographic operational territory: West, East, Central, or South.</w:t>
            </w:r>
          </w:p>
        </w:tc>
      </w:tr>
      <w:tr>
        <w:tc>
          <w:tcPr>
            <w:tcW w:type="dxa" w:w="2016"/>
            <w:shd w:fill="F8F9FA"/>
            <w:tcMar>
              <w:top w:w="80" w:type="dxa"/>
              <w:bottom w:w="80" w:type="dxa"/>
              <w:left w:w="120" w:type="dxa"/>
              <w:right w:w="120" w:type="dxa"/>
            </w:tcMar>
          </w:tcPr>
          <w:p>
            <w:pPr>
              <w:jc w:val="left"/>
            </w:pPr>
            <w:r>
              <w:rPr>
                <w:rFonts w:ascii="Calibri" w:hAnsi="Calibri"/>
                <w:color w:val="2B2D42"/>
                <w:sz w:val="18"/>
              </w:rPr>
              <w:t>Product ID</w:t>
            </w:r>
          </w:p>
        </w:tc>
        <w:tc>
          <w:tcPr>
            <w:tcW w:type="dxa" w:w="1440"/>
            <w:shd w:fill="F8F9FA"/>
            <w:tcMar>
              <w:top w:w="80" w:type="dxa"/>
              <w:bottom w:w="80" w:type="dxa"/>
              <w:left w:w="120" w:type="dxa"/>
              <w:right w:w="120" w:type="dxa"/>
            </w:tcMar>
          </w:tcPr>
          <w:p>
            <w:pPr>
              <w:jc w:val="left"/>
            </w:pPr>
            <w:r>
              <w:rPr>
                <w:rFonts w:ascii="Calibri" w:hAnsi="Calibri"/>
                <w:color w:val="2B2D42"/>
                <w:sz w:val="18"/>
              </w:rPr>
              <w:t>String</w:t>
            </w:r>
          </w:p>
        </w:tc>
        <w:tc>
          <w:tcPr>
            <w:tcW w:type="dxa" w:w="1584"/>
            <w:shd w:fill="F8F9FA"/>
            <w:tcMar>
              <w:top w:w="80" w:type="dxa"/>
              <w:bottom w:w="80" w:type="dxa"/>
              <w:left w:w="120" w:type="dxa"/>
              <w:right w:w="120" w:type="dxa"/>
            </w:tcMar>
          </w:tcPr>
          <w:p>
            <w:pPr>
              <w:jc w:val="left"/>
            </w:pPr>
            <w:r>
              <w:rPr>
                <w:rFonts w:ascii="Calibri" w:hAnsi="Calibri"/>
                <w:color w:val="2B2D42"/>
                <w:sz w:val="18"/>
              </w:rPr>
              <w:t>Inventory</w:t>
            </w:r>
          </w:p>
        </w:tc>
        <w:tc>
          <w:tcPr>
            <w:tcW w:type="dxa" w:w="4320"/>
            <w:shd w:fill="F8F9FA"/>
            <w:tcMar>
              <w:top w:w="80" w:type="dxa"/>
              <w:bottom w:w="80" w:type="dxa"/>
              <w:left w:w="120" w:type="dxa"/>
              <w:right w:w="120" w:type="dxa"/>
            </w:tcMar>
          </w:tcPr>
          <w:p>
            <w:pPr>
              <w:jc w:val="right"/>
            </w:pPr>
            <w:r>
              <w:rPr>
                <w:rFonts w:ascii="Calibri" w:hAnsi="Calibri"/>
                <w:color w:val="2B2D42"/>
                <w:sz w:val="18"/>
              </w:rPr>
              <w:t>Unique product catalog SKU code (1,862 distinct items).</w:t>
            </w:r>
          </w:p>
        </w:tc>
      </w:tr>
      <w:tr>
        <w:tc>
          <w:tcPr>
            <w:tcW w:type="dxa" w:w="2016"/>
            <w:shd w:fill="FFFFFF"/>
            <w:tcMar>
              <w:top w:w="80" w:type="dxa"/>
              <w:bottom w:w="80" w:type="dxa"/>
              <w:left w:w="120" w:type="dxa"/>
              <w:right w:w="120" w:type="dxa"/>
            </w:tcMar>
          </w:tcPr>
          <w:p>
            <w:pPr>
              <w:jc w:val="left"/>
            </w:pPr>
            <w:r>
              <w:rPr>
                <w:rFonts w:ascii="Calibri" w:hAnsi="Calibri"/>
                <w:color w:val="2B2D42"/>
                <w:sz w:val="18"/>
              </w:rPr>
              <w:t>Category</w:t>
            </w:r>
          </w:p>
        </w:tc>
        <w:tc>
          <w:tcPr>
            <w:tcW w:type="dxa" w:w="1440"/>
            <w:shd w:fill="FFFFFF"/>
            <w:tcMar>
              <w:top w:w="80" w:type="dxa"/>
              <w:bottom w:w="80" w:type="dxa"/>
              <w:left w:w="120" w:type="dxa"/>
              <w:right w:w="120" w:type="dxa"/>
            </w:tcMar>
          </w:tcPr>
          <w:p>
            <w:pPr>
              <w:jc w:val="left"/>
            </w:pPr>
            <w:r>
              <w:rPr>
                <w:rFonts w:ascii="Calibri" w:hAnsi="Calibri"/>
                <w:color w:val="2B2D42"/>
                <w:sz w:val="18"/>
              </w:rPr>
              <w:t>Factor</w:t>
            </w:r>
          </w:p>
        </w:tc>
        <w:tc>
          <w:tcPr>
            <w:tcW w:type="dxa" w:w="1584"/>
            <w:shd w:fill="FFFFFF"/>
            <w:tcMar>
              <w:top w:w="80" w:type="dxa"/>
              <w:bottom w:w="80" w:type="dxa"/>
              <w:left w:w="120" w:type="dxa"/>
              <w:right w:w="120" w:type="dxa"/>
            </w:tcMar>
          </w:tcPr>
          <w:p>
            <w:pPr>
              <w:jc w:val="left"/>
            </w:pPr>
            <w:r>
              <w:rPr>
                <w:rFonts w:ascii="Calibri" w:hAnsi="Calibri"/>
                <w:color w:val="2B2D42"/>
                <w:sz w:val="18"/>
              </w:rPr>
              <w:t>Inventory</w:t>
            </w:r>
          </w:p>
        </w:tc>
        <w:tc>
          <w:tcPr>
            <w:tcW w:type="dxa" w:w="4320"/>
            <w:shd w:fill="FFFFFF"/>
            <w:tcMar>
              <w:top w:w="80" w:type="dxa"/>
              <w:bottom w:w="80" w:type="dxa"/>
              <w:left w:w="120" w:type="dxa"/>
              <w:right w:w="120" w:type="dxa"/>
            </w:tcMar>
          </w:tcPr>
          <w:p>
            <w:pPr>
              <w:jc w:val="left"/>
            </w:pPr>
            <w:r>
              <w:rPr>
                <w:rFonts w:ascii="Calibri" w:hAnsi="Calibri"/>
                <w:color w:val="2B2D42"/>
                <w:sz w:val="18"/>
              </w:rPr>
              <w:t>Highest-level merchandise department: Furniture, Office Supplies, or Technology.</w:t>
            </w:r>
          </w:p>
        </w:tc>
      </w:tr>
      <w:tr>
        <w:tc>
          <w:tcPr>
            <w:tcW w:type="dxa" w:w="2016"/>
            <w:shd w:fill="F8F9FA"/>
            <w:tcMar>
              <w:top w:w="80" w:type="dxa"/>
              <w:bottom w:w="80" w:type="dxa"/>
              <w:left w:w="120" w:type="dxa"/>
              <w:right w:w="120" w:type="dxa"/>
            </w:tcMar>
          </w:tcPr>
          <w:p>
            <w:pPr>
              <w:jc w:val="left"/>
            </w:pPr>
            <w:r>
              <w:rPr>
                <w:rFonts w:ascii="Calibri" w:hAnsi="Calibri"/>
                <w:color w:val="2B2D42"/>
                <w:sz w:val="18"/>
              </w:rPr>
              <w:t>Sub-Category</w:t>
            </w:r>
          </w:p>
        </w:tc>
        <w:tc>
          <w:tcPr>
            <w:tcW w:type="dxa" w:w="1440"/>
            <w:shd w:fill="F8F9FA"/>
            <w:tcMar>
              <w:top w:w="80" w:type="dxa"/>
              <w:bottom w:w="80" w:type="dxa"/>
              <w:left w:w="120" w:type="dxa"/>
              <w:right w:w="120" w:type="dxa"/>
            </w:tcMar>
          </w:tcPr>
          <w:p>
            <w:pPr>
              <w:jc w:val="left"/>
            </w:pPr>
            <w:r>
              <w:rPr>
                <w:rFonts w:ascii="Calibri" w:hAnsi="Calibri"/>
                <w:color w:val="2B2D42"/>
                <w:sz w:val="18"/>
              </w:rPr>
              <w:t>Factor</w:t>
            </w:r>
          </w:p>
        </w:tc>
        <w:tc>
          <w:tcPr>
            <w:tcW w:type="dxa" w:w="1584"/>
            <w:shd w:fill="F8F9FA"/>
            <w:tcMar>
              <w:top w:w="80" w:type="dxa"/>
              <w:bottom w:w="80" w:type="dxa"/>
              <w:left w:w="120" w:type="dxa"/>
              <w:right w:w="120" w:type="dxa"/>
            </w:tcMar>
          </w:tcPr>
          <w:p>
            <w:pPr>
              <w:jc w:val="left"/>
            </w:pPr>
            <w:r>
              <w:rPr>
                <w:rFonts w:ascii="Calibri" w:hAnsi="Calibri"/>
                <w:color w:val="2B2D42"/>
                <w:sz w:val="18"/>
              </w:rPr>
              <w:t>Inventory</w:t>
            </w:r>
          </w:p>
        </w:tc>
        <w:tc>
          <w:tcPr>
            <w:tcW w:type="dxa" w:w="4320"/>
            <w:shd w:fill="F8F9FA"/>
            <w:tcMar>
              <w:top w:w="80" w:type="dxa"/>
              <w:bottom w:w="80" w:type="dxa"/>
              <w:left w:w="120" w:type="dxa"/>
              <w:right w:w="120" w:type="dxa"/>
            </w:tcMar>
          </w:tcPr>
          <w:p>
            <w:pPr>
              <w:jc w:val="right"/>
            </w:pPr>
            <w:r>
              <w:rPr>
                <w:rFonts w:ascii="Calibri" w:hAnsi="Calibri"/>
                <w:color w:val="2B2D42"/>
                <w:sz w:val="18"/>
              </w:rPr>
              <w:t>Detailed product classification (17 sub-departments: Chairs, Binders, Tables, etc.).</w:t>
            </w:r>
          </w:p>
        </w:tc>
      </w:tr>
      <w:tr>
        <w:tc>
          <w:tcPr>
            <w:tcW w:type="dxa" w:w="2016"/>
            <w:shd w:fill="FFFFFF"/>
            <w:tcMar>
              <w:top w:w="80" w:type="dxa"/>
              <w:bottom w:w="80" w:type="dxa"/>
              <w:left w:w="120" w:type="dxa"/>
              <w:right w:w="120" w:type="dxa"/>
            </w:tcMar>
          </w:tcPr>
          <w:p>
            <w:pPr>
              <w:jc w:val="left"/>
            </w:pPr>
            <w:r>
              <w:rPr>
                <w:rFonts w:ascii="Calibri" w:hAnsi="Calibri"/>
                <w:color w:val="2B2D42"/>
                <w:sz w:val="18"/>
              </w:rPr>
              <w:t>Product Name</w:t>
            </w:r>
          </w:p>
        </w:tc>
        <w:tc>
          <w:tcPr>
            <w:tcW w:type="dxa" w:w="1440"/>
            <w:shd w:fill="FFFFFF"/>
            <w:tcMar>
              <w:top w:w="80" w:type="dxa"/>
              <w:bottom w:w="80" w:type="dxa"/>
              <w:left w:w="120" w:type="dxa"/>
              <w:right w:w="120" w:type="dxa"/>
            </w:tcMar>
          </w:tcPr>
          <w:p>
            <w:pPr>
              <w:jc w:val="left"/>
            </w:pPr>
            <w:r>
              <w:rPr>
                <w:rFonts w:ascii="Calibri" w:hAnsi="Calibri"/>
                <w:color w:val="2B2D42"/>
                <w:sz w:val="18"/>
              </w:rPr>
              <w:t>String</w:t>
            </w:r>
          </w:p>
        </w:tc>
        <w:tc>
          <w:tcPr>
            <w:tcW w:type="dxa" w:w="1584"/>
            <w:shd w:fill="FFFFFF"/>
            <w:tcMar>
              <w:top w:w="80" w:type="dxa"/>
              <w:bottom w:w="80" w:type="dxa"/>
              <w:left w:w="120" w:type="dxa"/>
              <w:right w:w="120" w:type="dxa"/>
            </w:tcMar>
          </w:tcPr>
          <w:p>
            <w:pPr>
              <w:jc w:val="left"/>
            </w:pPr>
            <w:r>
              <w:rPr>
                <w:rFonts w:ascii="Calibri" w:hAnsi="Calibri"/>
                <w:color w:val="2B2D42"/>
                <w:sz w:val="18"/>
              </w:rPr>
              <w:t>Inventory</w:t>
            </w:r>
          </w:p>
        </w:tc>
        <w:tc>
          <w:tcPr>
            <w:tcW w:type="dxa" w:w="4320"/>
            <w:shd w:fill="FFFFFF"/>
            <w:tcMar>
              <w:top w:w="80" w:type="dxa"/>
              <w:bottom w:w="80" w:type="dxa"/>
              <w:left w:w="120" w:type="dxa"/>
              <w:right w:w="120" w:type="dxa"/>
            </w:tcMar>
          </w:tcPr>
          <w:p>
            <w:pPr>
              <w:jc w:val="left"/>
            </w:pPr>
            <w:r>
              <w:rPr>
                <w:rFonts w:ascii="Calibri" w:hAnsi="Calibri"/>
                <w:color w:val="2B2D42"/>
                <w:sz w:val="18"/>
              </w:rPr>
              <w:t>Descriptive brand and commercial title of the catalog merchandise item.</w:t>
            </w:r>
          </w:p>
        </w:tc>
      </w:tr>
      <w:tr>
        <w:tc>
          <w:tcPr>
            <w:tcW w:type="dxa" w:w="2016"/>
            <w:shd w:fill="F8F9FA"/>
            <w:tcMar>
              <w:top w:w="80" w:type="dxa"/>
              <w:bottom w:w="80" w:type="dxa"/>
              <w:left w:w="120" w:type="dxa"/>
              <w:right w:w="120" w:type="dxa"/>
            </w:tcMar>
          </w:tcPr>
          <w:p>
            <w:pPr>
              <w:jc w:val="left"/>
            </w:pPr>
            <w:r>
              <w:rPr>
                <w:rFonts w:ascii="Calibri" w:hAnsi="Calibri"/>
                <w:color w:val="2B2D42"/>
                <w:sz w:val="18"/>
              </w:rPr>
              <w:t>Sales</w:t>
            </w:r>
          </w:p>
        </w:tc>
        <w:tc>
          <w:tcPr>
            <w:tcW w:type="dxa" w:w="1440"/>
            <w:shd w:fill="F8F9FA"/>
            <w:tcMar>
              <w:top w:w="80" w:type="dxa"/>
              <w:bottom w:w="80" w:type="dxa"/>
              <w:left w:w="120" w:type="dxa"/>
              <w:right w:w="120" w:type="dxa"/>
            </w:tcMar>
          </w:tcPr>
          <w:p>
            <w:pPr>
              <w:jc w:val="left"/>
            </w:pPr>
            <w:r>
              <w:rPr>
                <w:rFonts w:ascii="Calibri" w:hAnsi="Calibri"/>
                <w:color w:val="2B2D42"/>
                <w:sz w:val="18"/>
              </w:rPr>
              <w:t>Numeric ($)</w:t>
            </w:r>
          </w:p>
        </w:tc>
        <w:tc>
          <w:tcPr>
            <w:tcW w:type="dxa" w:w="1584"/>
            <w:shd w:fill="F8F9FA"/>
            <w:tcMar>
              <w:top w:w="80" w:type="dxa"/>
              <w:bottom w:w="80" w:type="dxa"/>
              <w:left w:w="120" w:type="dxa"/>
              <w:right w:w="120" w:type="dxa"/>
            </w:tcMar>
          </w:tcPr>
          <w:p>
            <w:pPr>
              <w:jc w:val="left"/>
            </w:pPr>
            <w:r>
              <w:rPr>
                <w:rFonts w:ascii="Calibri" w:hAnsi="Calibri"/>
                <w:color w:val="2B2D42"/>
                <w:sz w:val="18"/>
              </w:rPr>
              <w:t>Financial</w:t>
            </w:r>
          </w:p>
        </w:tc>
        <w:tc>
          <w:tcPr>
            <w:tcW w:type="dxa" w:w="4320"/>
            <w:shd w:fill="F8F9FA"/>
            <w:tcMar>
              <w:top w:w="80" w:type="dxa"/>
              <w:bottom w:w="80" w:type="dxa"/>
              <w:left w:w="120" w:type="dxa"/>
              <w:right w:w="120" w:type="dxa"/>
            </w:tcMar>
          </w:tcPr>
          <w:p>
            <w:pPr>
              <w:jc w:val="right"/>
            </w:pPr>
            <w:r>
              <w:rPr>
                <w:rFonts w:ascii="Calibri" w:hAnsi="Calibri"/>
                <w:color w:val="2B2D42"/>
                <w:sz w:val="18"/>
              </w:rPr>
              <w:t>Gross transaction revenue in US Dollars. Range: $0.444 to $22,638.48.</w:t>
            </w:r>
          </w:p>
        </w:tc>
      </w:tr>
      <w:tr>
        <w:tc>
          <w:tcPr>
            <w:tcW w:type="dxa" w:w="2016"/>
            <w:shd w:fill="FFFFFF"/>
            <w:tcMar>
              <w:top w:w="80" w:type="dxa"/>
              <w:bottom w:w="80" w:type="dxa"/>
              <w:left w:w="120" w:type="dxa"/>
              <w:right w:w="120" w:type="dxa"/>
            </w:tcMar>
          </w:tcPr>
          <w:p>
            <w:pPr>
              <w:jc w:val="left"/>
            </w:pPr>
            <w:r>
              <w:rPr>
                <w:rFonts w:ascii="Calibri" w:hAnsi="Calibri"/>
                <w:color w:val="2B2D42"/>
                <w:sz w:val="18"/>
              </w:rPr>
              <w:t>Quantity</w:t>
            </w:r>
          </w:p>
        </w:tc>
        <w:tc>
          <w:tcPr>
            <w:tcW w:type="dxa" w:w="1440"/>
            <w:shd w:fill="FFFFFF"/>
            <w:tcMar>
              <w:top w:w="80" w:type="dxa"/>
              <w:bottom w:w="80" w:type="dxa"/>
              <w:left w:w="120" w:type="dxa"/>
              <w:right w:w="120" w:type="dxa"/>
            </w:tcMar>
          </w:tcPr>
          <w:p>
            <w:pPr>
              <w:jc w:val="left"/>
            </w:pPr>
            <w:r>
              <w:rPr>
                <w:rFonts w:ascii="Calibri" w:hAnsi="Calibri"/>
                <w:color w:val="2B2D42"/>
                <w:sz w:val="18"/>
              </w:rPr>
              <w:t>Integer</w:t>
            </w:r>
          </w:p>
        </w:tc>
        <w:tc>
          <w:tcPr>
            <w:tcW w:type="dxa" w:w="1584"/>
            <w:shd w:fill="FFFFFF"/>
            <w:tcMar>
              <w:top w:w="80" w:type="dxa"/>
              <w:bottom w:w="80" w:type="dxa"/>
              <w:left w:w="120" w:type="dxa"/>
              <w:right w:w="120" w:type="dxa"/>
            </w:tcMar>
          </w:tcPr>
          <w:p>
            <w:pPr>
              <w:jc w:val="left"/>
            </w:pPr>
            <w:r>
              <w:rPr>
                <w:rFonts w:ascii="Calibri" w:hAnsi="Calibri"/>
                <w:color w:val="2B2D42"/>
                <w:sz w:val="18"/>
              </w:rPr>
              <w:t>Volume</w:t>
            </w:r>
          </w:p>
        </w:tc>
        <w:tc>
          <w:tcPr>
            <w:tcW w:type="dxa" w:w="4320"/>
            <w:shd w:fill="FFFFFF"/>
            <w:tcMar>
              <w:top w:w="80" w:type="dxa"/>
              <w:bottom w:w="80" w:type="dxa"/>
              <w:left w:w="120" w:type="dxa"/>
              <w:right w:w="120" w:type="dxa"/>
            </w:tcMar>
          </w:tcPr>
          <w:p>
            <w:pPr>
              <w:jc w:val="right"/>
            </w:pPr>
            <w:r>
              <w:rPr>
                <w:rFonts w:ascii="Calibri" w:hAnsi="Calibri"/>
                <w:color w:val="2B2D42"/>
                <w:sz w:val="18"/>
              </w:rPr>
              <w:t>Number of physical units purchased per line item. Range: 1 to 14 units.</w:t>
            </w:r>
          </w:p>
        </w:tc>
      </w:tr>
      <w:tr>
        <w:tc>
          <w:tcPr>
            <w:tcW w:type="dxa" w:w="2016"/>
            <w:shd w:fill="F8F9FA"/>
            <w:tcMar>
              <w:top w:w="80" w:type="dxa"/>
              <w:bottom w:w="80" w:type="dxa"/>
              <w:left w:w="120" w:type="dxa"/>
              <w:right w:w="120" w:type="dxa"/>
            </w:tcMar>
          </w:tcPr>
          <w:p>
            <w:pPr>
              <w:jc w:val="left"/>
            </w:pPr>
            <w:r>
              <w:rPr>
                <w:rFonts w:ascii="Calibri" w:hAnsi="Calibri"/>
                <w:color w:val="2B2D42"/>
                <w:sz w:val="18"/>
              </w:rPr>
              <w:t>Discount</w:t>
            </w:r>
          </w:p>
        </w:tc>
        <w:tc>
          <w:tcPr>
            <w:tcW w:type="dxa" w:w="1440"/>
            <w:shd w:fill="F8F9FA"/>
            <w:tcMar>
              <w:top w:w="80" w:type="dxa"/>
              <w:bottom w:w="80" w:type="dxa"/>
              <w:left w:w="120" w:type="dxa"/>
              <w:right w:w="120" w:type="dxa"/>
            </w:tcMar>
          </w:tcPr>
          <w:p>
            <w:pPr>
              <w:jc w:val="left"/>
            </w:pPr>
            <w:r>
              <w:rPr>
                <w:rFonts w:ascii="Calibri" w:hAnsi="Calibri"/>
                <w:color w:val="2B2D42"/>
                <w:sz w:val="18"/>
              </w:rPr>
              <w:t>Numeric (%)</w:t>
            </w:r>
          </w:p>
        </w:tc>
        <w:tc>
          <w:tcPr>
            <w:tcW w:type="dxa" w:w="1584"/>
            <w:shd w:fill="F8F9FA"/>
            <w:tcMar>
              <w:top w:w="80" w:type="dxa"/>
              <w:bottom w:w="80" w:type="dxa"/>
              <w:left w:w="120" w:type="dxa"/>
              <w:right w:w="120" w:type="dxa"/>
            </w:tcMar>
          </w:tcPr>
          <w:p>
            <w:pPr>
              <w:jc w:val="left"/>
            </w:pPr>
            <w:r>
              <w:rPr>
                <w:rFonts w:ascii="Calibri" w:hAnsi="Calibri"/>
                <w:color w:val="2B2D42"/>
                <w:sz w:val="18"/>
              </w:rPr>
              <w:t>Financial</w:t>
            </w:r>
          </w:p>
        </w:tc>
        <w:tc>
          <w:tcPr>
            <w:tcW w:type="dxa" w:w="4320"/>
            <w:shd w:fill="F8F9FA"/>
            <w:tcMar>
              <w:top w:w="80" w:type="dxa"/>
              <w:bottom w:w="80" w:type="dxa"/>
              <w:left w:w="120" w:type="dxa"/>
              <w:right w:w="120" w:type="dxa"/>
            </w:tcMar>
          </w:tcPr>
          <w:p>
            <w:pPr>
              <w:jc w:val="right"/>
            </w:pPr>
            <w:r>
              <w:rPr>
                <w:rFonts w:ascii="Calibri" w:hAnsi="Calibri"/>
                <w:color w:val="2B2D42"/>
                <w:sz w:val="18"/>
              </w:rPr>
              <w:t>Promotional discount rate applied. Range: 0.00 (0%) to 0.80 (80%).</w:t>
            </w:r>
          </w:p>
        </w:tc>
      </w:tr>
      <w:tr>
        <w:tc>
          <w:tcPr>
            <w:tcW w:type="dxa" w:w="2016"/>
            <w:shd w:fill="FFFFFF"/>
            <w:tcMar>
              <w:top w:w="80" w:type="dxa"/>
              <w:bottom w:w="80" w:type="dxa"/>
              <w:left w:w="120" w:type="dxa"/>
              <w:right w:w="120" w:type="dxa"/>
            </w:tcMar>
          </w:tcPr>
          <w:p>
            <w:pPr>
              <w:jc w:val="left"/>
            </w:pPr>
            <w:r>
              <w:rPr>
                <w:rFonts w:ascii="Calibri" w:hAnsi="Calibri"/>
                <w:color w:val="2B2D42"/>
                <w:sz w:val="18"/>
              </w:rPr>
              <w:t>Profit</w:t>
            </w:r>
          </w:p>
        </w:tc>
        <w:tc>
          <w:tcPr>
            <w:tcW w:type="dxa" w:w="1440"/>
            <w:shd w:fill="FFFFFF"/>
            <w:tcMar>
              <w:top w:w="80" w:type="dxa"/>
              <w:bottom w:w="80" w:type="dxa"/>
              <w:left w:w="120" w:type="dxa"/>
              <w:right w:w="120" w:type="dxa"/>
            </w:tcMar>
          </w:tcPr>
          <w:p>
            <w:pPr>
              <w:jc w:val="left"/>
            </w:pPr>
            <w:r>
              <w:rPr>
                <w:rFonts w:ascii="Calibri" w:hAnsi="Calibri"/>
                <w:color w:val="2B2D42"/>
                <w:sz w:val="18"/>
              </w:rPr>
              <w:t>Numeric ($)</w:t>
            </w:r>
          </w:p>
        </w:tc>
        <w:tc>
          <w:tcPr>
            <w:tcW w:type="dxa" w:w="1584"/>
            <w:shd w:fill="FFFFFF"/>
            <w:tcMar>
              <w:top w:w="80" w:type="dxa"/>
              <w:bottom w:w="80" w:type="dxa"/>
              <w:left w:w="120" w:type="dxa"/>
              <w:right w:w="120" w:type="dxa"/>
            </w:tcMar>
          </w:tcPr>
          <w:p>
            <w:pPr>
              <w:jc w:val="left"/>
            </w:pPr>
            <w:r>
              <w:rPr>
                <w:rFonts w:ascii="Calibri" w:hAnsi="Calibri"/>
                <w:color w:val="2B2D42"/>
                <w:sz w:val="18"/>
              </w:rPr>
              <w:t>Financial</w:t>
            </w:r>
          </w:p>
        </w:tc>
        <w:tc>
          <w:tcPr>
            <w:tcW w:type="dxa" w:w="4320"/>
            <w:shd w:fill="FFFFFF"/>
            <w:tcMar>
              <w:top w:w="80" w:type="dxa"/>
              <w:bottom w:w="80" w:type="dxa"/>
              <w:left w:w="120" w:type="dxa"/>
              <w:right w:w="120" w:type="dxa"/>
            </w:tcMar>
          </w:tcPr>
          <w:p>
            <w:pPr>
              <w:jc w:val="right"/>
            </w:pPr>
            <w:r>
              <w:rPr>
                <w:rFonts w:ascii="Calibri" w:hAnsi="Calibri"/>
                <w:color w:val="2B2D42"/>
                <w:sz w:val="18"/>
              </w:rPr>
              <w:t>Net commercial profit or loss in USD. Range: -$6,599.98 to +$8,399.98.</w:t>
            </w:r>
          </w:p>
        </w:tc>
      </w:tr>
    </w:tbl>
    <w:p>
      <w:pPr>
        <w:spacing w:after="80"/>
      </w:pPr>
    </w:p>
    <w:p>
      <w:r>
        <w:br w:type="page"/>
      </w:r>
    </w:p>
    <w:p>
      <w:pPr>
        <w:keepNext/>
        <w:spacing w:before="320" w:after="120"/>
      </w:pPr>
      <w:r>
        <w:rPr>
          <w:rFonts w:ascii="Calibri" w:hAnsi="Calibri"/>
          <w:b/>
          <w:color w:val="1D3557"/>
          <w:sz w:val="34"/>
        </w:rPr>
        <w:t>4. DATA QUALITY AUDIT &amp; VALIDATION</w:t>
      </w:r>
    </w:p>
    <w:p>
      <w:pPr>
        <w:keepNext/>
        <w:spacing w:before="240" w:after="80"/>
      </w:pPr>
      <w:r>
        <w:rPr>
          <w:rFonts w:ascii="Calibri" w:hAnsi="Calibri"/>
          <w:b/>
          <w:color w:val="457B9D"/>
          <w:sz w:val="27"/>
        </w:rPr>
        <w:t>4.1 Missing Value Diagnostics</w:t>
      </w:r>
    </w:p>
    <w:p>
      <w:pPr>
        <w:spacing w:after="80" w:line="276" w:lineRule="auto"/>
      </w:pPr>
      <w:r>
        <w:rPr>
          <w:rFonts w:ascii="Calibri" w:hAnsi="Calibri"/>
          <w:color w:val="2B2D42"/>
          <w:sz w:val="22"/>
        </w:rPr>
        <w:t>A rigorous missing-value scan was executed across all 9,994 rows and 21 columns using vectorized R logic. The audit confirmed that exactly zero cells contain NA, NULL, or empty string representations. The completeness rate is 100.0% across all numerical, temporal, and categorical attributes. Consequently, no synthetic imputation or record deletion was required.</w:t>
      </w:r>
    </w:p>
    <w:p>
      <w:pPr>
        <w:keepNext/>
        <w:spacing w:before="240" w:after="80"/>
      </w:pPr>
      <w:r>
        <w:rPr>
          <w:rFonts w:ascii="Calibri" w:hAnsi="Calibri"/>
          <w:b/>
          <w:color w:val="457B9D"/>
          <w:sz w:val="27"/>
        </w:rPr>
        <w:t>4.2 Duplicate Record Diagnostics</w:t>
      </w:r>
    </w:p>
    <w:p>
      <w:pPr>
        <w:spacing w:after="80" w:line="276" w:lineRule="auto"/>
      </w:pPr>
      <w:r>
        <w:rPr>
          <w:rFonts w:ascii="Calibri" w:hAnsi="Calibri"/>
          <w:color w:val="2B2D42"/>
          <w:sz w:val="22"/>
        </w:rPr>
        <w:t>Data deduplication requires distinguishing between identical data corruption and legitimate multi-item transactions. An evaluation of exact row duplicates (checking identical values across all 21 columns) revealed exactly 0 duplicate rows. Similarly, Row ID exhibits 100% uniqueness (zero duplicate keys). While Order ID exhibits 4,985 repeated instances across the 9,994 rows, forensic inspection confirmed that these repetitions reflect multi-item purchasing events—where a single customer order encompasses distinct catalog SKUs. Thus, repeated Order IDs were confirmed to be legitimate operational occurrences.</w:t>
      </w:r>
    </w:p>
    <w:p>
      <w:pPr>
        <w:keepNext/>
        <w:spacing w:before="240" w:after="80"/>
      </w:pPr>
      <w:r>
        <w:rPr>
          <w:rFonts w:ascii="Calibri" w:hAnsi="Calibri"/>
          <w:b/>
          <w:color w:val="457B9D"/>
          <w:sz w:val="27"/>
        </w:rPr>
        <w:t>4.3 Date Logic and Chronological Integrity Audit</w:t>
      </w:r>
    </w:p>
    <w:p>
      <w:pPr>
        <w:spacing w:after="80" w:line="276" w:lineRule="auto"/>
      </w:pPr>
      <w:r>
        <w:rPr>
          <w:rFonts w:ascii="Calibri" w:hAnsi="Calibri"/>
          <w:color w:val="2B2D42"/>
          <w:sz w:val="22"/>
        </w:rPr>
        <w:t>A critical finding during initial data inspection concerned the date formatting. The raw CSV encodes dates in the standard international format DD-MM-YYYY (e.g., '13-06-2013' and '22-11-2012'). Naive parsers that assume an American MM-DD-YYYY or ambiguous mixed parsing misinterpret day values &lt;= 12 as months, resulting in an erroneous conclusion that 1,781 records have shipment dates occurring prior to order placement. By enforcing strict DD-MM-YYYY parsing via lubridate::dmy(), 100% of order and ship dates parsed cleanly with exactly 0 chronological anomalies. In every single transaction, Ship Date is strictly greater than or equal to Order Date, with fulfillment durations spanning 0 to 7 days.</w:t>
      </w:r>
    </w:p>
    <w:p>
      <w:pPr>
        <w:keepNext/>
        <w:spacing w:before="240" w:after="80"/>
      </w:pPr>
      <w:r>
        <w:rPr>
          <w:rFonts w:ascii="Calibri" w:hAnsi="Calibri"/>
          <w:b/>
          <w:color w:val="457B9D"/>
          <w:sz w:val="27"/>
        </w:rPr>
        <w:t>4.4 Domain Sanity and Numerical Boundary Auditing</w:t>
      </w:r>
    </w:p>
    <w:p>
      <w:pPr>
        <w:spacing w:after="80" w:line="276" w:lineRule="auto"/>
      </w:pPr>
      <w:r>
        <w:rPr>
          <w:rFonts w:ascii="Calibri" w:hAnsi="Calibri"/>
          <w:color w:val="2B2D42"/>
          <w:sz w:val="22"/>
        </w:rPr>
        <w:t>All numerical variables were audited against business logic: (1) Sales exhibits a minimum of $0.444 and maximum of $22,638.48 (no negative revenue); (2) Quantity spans 1 to 14 units with an integer distribution (no zero or negative volume); (3) Discount strictly adheres to the closed interval [0.00, 0.80] (no invalid discounts exceeding 100%); and (4) Profit spans -$6,599.98 to +$8,399.98. While 1,871 transactions (18.72%) record negative profits, subsequent auditing confirmed that these represent genuine commercial losses resulting from steep promotional discounts rather than accounting errors.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1584"/>
            <w:shd w:fill="1D3557"/>
            <w:tcMar>
              <w:top w:w="100" w:type="dxa"/>
              <w:bottom w:w="100" w:type="dxa"/>
              <w:left w:w="120" w:type="dxa"/>
              <w:right w:w="120" w:type="dxa"/>
            </w:tcMar>
          </w:tcPr>
          <w:p>
            <w:pPr>
              <w:jc w:val="left"/>
            </w:pPr>
            <w:r>
              <w:rPr>
                <w:rFonts w:ascii="Calibri" w:hAnsi="Calibri"/>
                <w:b/>
                <w:color w:val="FFFFFF"/>
                <w:sz w:val="19"/>
              </w:rPr>
              <w:t>Variable</w:t>
            </w:r>
          </w:p>
        </w:tc>
        <w:tc>
          <w:tcPr>
            <w:tcW w:type="dxa" w:w="1296"/>
            <w:shd w:fill="1D3557"/>
            <w:tcMar>
              <w:top w:w="100" w:type="dxa"/>
              <w:bottom w:w="100" w:type="dxa"/>
              <w:left w:w="120" w:type="dxa"/>
              <w:right w:w="120" w:type="dxa"/>
            </w:tcMar>
          </w:tcPr>
          <w:p>
            <w:pPr>
              <w:jc w:val="left"/>
            </w:pPr>
            <w:r>
              <w:rPr>
                <w:rFonts w:ascii="Calibri" w:hAnsi="Calibri"/>
                <w:b/>
                <w:color w:val="FFFFFF"/>
                <w:sz w:val="19"/>
              </w:rPr>
              <w:t>Type</w:t>
            </w:r>
          </w:p>
        </w:tc>
        <w:tc>
          <w:tcPr>
            <w:tcW w:type="dxa" w:w="1152"/>
            <w:shd w:fill="1D3557"/>
            <w:tcMar>
              <w:top w:w="100" w:type="dxa"/>
              <w:bottom w:w="100" w:type="dxa"/>
              <w:left w:w="120" w:type="dxa"/>
              <w:right w:w="120" w:type="dxa"/>
            </w:tcMar>
          </w:tcPr>
          <w:p>
            <w:pPr>
              <w:jc w:val="right"/>
            </w:pPr>
            <w:r>
              <w:rPr>
                <w:rFonts w:ascii="Calibri" w:hAnsi="Calibri"/>
                <w:b/>
                <w:color w:val="FFFFFF"/>
                <w:sz w:val="19"/>
              </w:rPr>
              <w:t>Missing</w:t>
            </w:r>
          </w:p>
        </w:tc>
        <w:tc>
          <w:tcPr>
            <w:tcW w:type="dxa" w:w="1008"/>
            <w:shd w:fill="1D3557"/>
            <w:tcMar>
              <w:top w:w="100" w:type="dxa"/>
              <w:bottom w:w="100" w:type="dxa"/>
              <w:left w:w="120" w:type="dxa"/>
              <w:right w:w="120" w:type="dxa"/>
            </w:tcMar>
          </w:tcPr>
          <w:p>
            <w:pPr>
              <w:jc w:val="right"/>
            </w:pPr>
            <w:r>
              <w:rPr>
                <w:rFonts w:ascii="Calibri" w:hAnsi="Calibri"/>
                <w:b/>
                <w:color w:val="FFFFFF"/>
                <w:sz w:val="19"/>
              </w:rPr>
              <w:t>Unique</w:t>
            </w:r>
          </w:p>
        </w:tc>
        <w:tc>
          <w:tcPr>
            <w:tcW w:type="dxa" w:w="2592"/>
            <w:shd w:fill="1D3557"/>
            <w:tcMar>
              <w:top w:w="100" w:type="dxa"/>
              <w:bottom w:w="100" w:type="dxa"/>
              <w:left w:w="120" w:type="dxa"/>
              <w:right w:w="120" w:type="dxa"/>
            </w:tcMar>
          </w:tcPr>
          <w:p>
            <w:pPr>
              <w:jc w:val="left"/>
            </w:pPr>
            <w:r>
              <w:rPr>
                <w:rFonts w:ascii="Calibri" w:hAnsi="Calibri"/>
                <w:b/>
                <w:color w:val="FFFFFF"/>
                <w:sz w:val="19"/>
              </w:rPr>
              <w:t>Audited Characteristics</w:t>
            </w:r>
          </w:p>
        </w:tc>
        <w:tc>
          <w:tcPr>
            <w:tcW w:type="dxa" w:w="1728"/>
            <w:shd w:fill="1D3557"/>
            <w:tcMar>
              <w:top w:w="100" w:type="dxa"/>
              <w:bottom w:w="100" w:type="dxa"/>
              <w:left w:w="120" w:type="dxa"/>
              <w:right w:w="120" w:type="dxa"/>
            </w:tcMar>
          </w:tcPr>
          <w:p>
            <w:pPr>
              <w:jc w:val="left"/>
            </w:pPr>
            <w:r>
              <w:rPr>
                <w:rFonts w:ascii="Calibri" w:hAnsi="Calibri"/>
                <w:b/>
                <w:color w:val="FFFFFF"/>
                <w:sz w:val="19"/>
              </w:rPr>
              <w:t>Analytical Action Taken</w:t>
            </w:r>
          </w:p>
        </w:tc>
      </w:tr>
      <w:tr>
        <w:tc>
          <w:tcPr>
            <w:tcW w:type="dxa" w:w="1584"/>
            <w:shd w:fill="FFFFFF"/>
            <w:tcMar>
              <w:top w:w="80" w:type="dxa"/>
              <w:bottom w:w="80" w:type="dxa"/>
              <w:left w:w="120" w:type="dxa"/>
              <w:right w:w="120" w:type="dxa"/>
            </w:tcMar>
          </w:tcPr>
          <w:p>
            <w:pPr>
              <w:jc w:val="left"/>
            </w:pPr>
            <w:r>
              <w:rPr>
                <w:rFonts w:ascii="Calibri" w:hAnsi="Calibri"/>
                <w:color w:val="2B2D42"/>
                <w:sz w:val="18"/>
              </w:rPr>
              <w:t>Row ID</w:t>
            </w:r>
          </w:p>
        </w:tc>
        <w:tc>
          <w:tcPr>
            <w:tcW w:type="dxa" w:w="1296"/>
            <w:shd w:fill="FFFFFF"/>
            <w:tcMar>
              <w:top w:w="80" w:type="dxa"/>
              <w:bottom w:w="80" w:type="dxa"/>
              <w:left w:w="120" w:type="dxa"/>
              <w:right w:w="120" w:type="dxa"/>
            </w:tcMar>
          </w:tcPr>
          <w:p>
            <w:pPr>
              <w:jc w:val="left"/>
            </w:pPr>
            <w:r>
              <w:rPr>
                <w:rFonts w:ascii="Calibri" w:hAnsi="Calibri"/>
                <w:color w:val="2B2D42"/>
                <w:sz w:val="18"/>
              </w:rPr>
              <w:t>Integer</w:t>
            </w:r>
          </w:p>
        </w:tc>
        <w:tc>
          <w:tcPr>
            <w:tcW w:type="dxa" w:w="1152"/>
            <w:shd w:fill="FFFFFF"/>
            <w:tcMar>
              <w:top w:w="80" w:type="dxa"/>
              <w:bottom w:w="80" w:type="dxa"/>
              <w:left w:w="120" w:type="dxa"/>
              <w:right w:w="120" w:type="dxa"/>
            </w:tcMar>
          </w:tcPr>
          <w:p>
            <w:pPr>
              <w:jc w:val="right"/>
            </w:pPr>
            <w:r>
              <w:rPr>
                <w:rFonts w:ascii="Calibri" w:hAnsi="Calibri"/>
                <w:color w:val="2B2D42"/>
                <w:sz w:val="18"/>
              </w:rPr>
              <w:t>0 (0.0%)</w:t>
            </w:r>
          </w:p>
        </w:tc>
        <w:tc>
          <w:tcPr>
            <w:tcW w:type="dxa" w:w="1008"/>
            <w:shd w:fill="FFFFFF"/>
            <w:tcMar>
              <w:top w:w="80" w:type="dxa"/>
              <w:bottom w:w="80" w:type="dxa"/>
              <w:left w:w="120" w:type="dxa"/>
              <w:right w:w="120" w:type="dxa"/>
            </w:tcMar>
          </w:tcPr>
          <w:p>
            <w:pPr>
              <w:jc w:val="right"/>
            </w:pPr>
            <w:r>
              <w:rPr>
                <w:rFonts w:ascii="Calibri" w:hAnsi="Calibri"/>
                <w:color w:val="2B2D42"/>
                <w:sz w:val="18"/>
              </w:rPr>
              <w:t>9,994</w:t>
            </w:r>
          </w:p>
        </w:tc>
        <w:tc>
          <w:tcPr>
            <w:tcW w:type="dxa" w:w="2592"/>
            <w:shd w:fill="FFFFFF"/>
            <w:tcMar>
              <w:top w:w="80" w:type="dxa"/>
              <w:bottom w:w="80" w:type="dxa"/>
              <w:left w:w="120" w:type="dxa"/>
              <w:right w:w="120" w:type="dxa"/>
            </w:tcMar>
          </w:tcPr>
          <w:p>
            <w:pPr>
              <w:jc w:val="left"/>
            </w:pPr>
            <w:r>
              <w:rPr>
                <w:rFonts w:ascii="Calibri" w:hAnsi="Calibri"/>
                <w:color w:val="2B2D42"/>
                <w:sz w:val="18"/>
              </w:rPr>
              <w:t>None (Unique identifier)</w:t>
            </w:r>
          </w:p>
        </w:tc>
        <w:tc>
          <w:tcPr>
            <w:tcW w:type="dxa" w:w="1728"/>
            <w:shd w:fill="FFFFFF"/>
            <w:tcMar>
              <w:top w:w="80" w:type="dxa"/>
              <w:bottom w:w="80" w:type="dxa"/>
              <w:left w:w="120" w:type="dxa"/>
              <w:right w:w="120" w:type="dxa"/>
            </w:tcMar>
          </w:tcPr>
          <w:p>
            <w:pPr>
              <w:jc w:val="left"/>
            </w:pPr>
            <w:r>
              <w:rPr>
                <w:rFonts w:ascii="Calibri" w:hAnsi="Calibri"/>
                <w:color w:val="2B2D42"/>
                <w:sz w:val="18"/>
              </w:rPr>
              <w:t>Retained as unique sequence key</w:t>
            </w:r>
          </w:p>
        </w:tc>
      </w:tr>
      <w:tr>
        <w:tc>
          <w:tcPr>
            <w:tcW w:type="dxa" w:w="1584"/>
            <w:shd w:fill="F8F9FA"/>
            <w:tcMar>
              <w:top w:w="80" w:type="dxa"/>
              <w:bottom w:w="80" w:type="dxa"/>
              <w:left w:w="120" w:type="dxa"/>
              <w:right w:w="120" w:type="dxa"/>
            </w:tcMar>
          </w:tcPr>
          <w:p>
            <w:pPr>
              <w:jc w:val="left"/>
            </w:pPr>
            <w:r>
              <w:rPr>
                <w:rFonts w:ascii="Calibri" w:hAnsi="Calibri"/>
                <w:color w:val="2B2D42"/>
                <w:sz w:val="18"/>
              </w:rPr>
              <w:t>Order ID</w:t>
            </w:r>
          </w:p>
        </w:tc>
        <w:tc>
          <w:tcPr>
            <w:tcW w:type="dxa" w:w="1296"/>
            <w:shd w:fill="F8F9FA"/>
            <w:tcMar>
              <w:top w:w="80" w:type="dxa"/>
              <w:bottom w:w="80" w:type="dxa"/>
              <w:left w:w="120" w:type="dxa"/>
              <w:right w:w="120" w:type="dxa"/>
            </w:tcMar>
          </w:tcPr>
          <w:p>
            <w:pPr>
              <w:jc w:val="left"/>
            </w:pPr>
            <w:r>
              <w:rPr>
                <w:rFonts w:ascii="Calibri" w:hAnsi="Calibri"/>
                <w:color w:val="2B2D42"/>
                <w:sz w:val="18"/>
              </w:rPr>
              <w:t>Character</w:t>
            </w:r>
          </w:p>
        </w:tc>
        <w:tc>
          <w:tcPr>
            <w:tcW w:type="dxa" w:w="1152"/>
            <w:shd w:fill="F8F9FA"/>
            <w:tcMar>
              <w:top w:w="80" w:type="dxa"/>
              <w:bottom w:w="80" w:type="dxa"/>
              <w:left w:w="120" w:type="dxa"/>
              <w:right w:w="120" w:type="dxa"/>
            </w:tcMar>
          </w:tcPr>
          <w:p>
            <w:pPr>
              <w:jc w:val="right"/>
            </w:pPr>
            <w:r>
              <w:rPr>
                <w:rFonts w:ascii="Calibri" w:hAnsi="Calibri"/>
                <w:color w:val="2B2D42"/>
                <w:sz w:val="18"/>
              </w:rPr>
              <w:t>0 (0.0%)</w:t>
            </w:r>
          </w:p>
        </w:tc>
        <w:tc>
          <w:tcPr>
            <w:tcW w:type="dxa" w:w="1008"/>
            <w:shd w:fill="F8F9FA"/>
            <w:tcMar>
              <w:top w:w="80" w:type="dxa"/>
              <w:bottom w:w="80" w:type="dxa"/>
              <w:left w:w="120" w:type="dxa"/>
              <w:right w:w="120" w:type="dxa"/>
            </w:tcMar>
          </w:tcPr>
          <w:p>
            <w:pPr>
              <w:jc w:val="right"/>
            </w:pPr>
            <w:r>
              <w:rPr>
                <w:rFonts w:ascii="Calibri" w:hAnsi="Calibri"/>
                <w:color w:val="2B2D42"/>
                <w:sz w:val="18"/>
              </w:rPr>
              <w:t>5,009</w:t>
            </w:r>
          </w:p>
        </w:tc>
        <w:tc>
          <w:tcPr>
            <w:tcW w:type="dxa" w:w="2592"/>
            <w:shd w:fill="F8F9FA"/>
            <w:tcMar>
              <w:top w:w="80" w:type="dxa"/>
              <w:bottom w:w="80" w:type="dxa"/>
              <w:left w:w="120" w:type="dxa"/>
              <w:right w:w="120" w:type="dxa"/>
            </w:tcMar>
          </w:tcPr>
          <w:p>
            <w:pPr>
              <w:jc w:val="left"/>
            </w:pPr>
            <w:r>
              <w:rPr>
                <w:rFonts w:ascii="Calibri" w:hAnsi="Calibri"/>
                <w:color w:val="2B2D42"/>
                <w:sz w:val="18"/>
              </w:rPr>
              <w:t>Repeated across multi-item orders</w:t>
            </w:r>
          </w:p>
        </w:tc>
        <w:tc>
          <w:tcPr>
            <w:tcW w:type="dxa" w:w="1728"/>
            <w:shd w:fill="F8F9FA"/>
            <w:tcMar>
              <w:top w:w="80" w:type="dxa"/>
              <w:bottom w:w="80" w:type="dxa"/>
              <w:left w:w="120" w:type="dxa"/>
              <w:right w:w="120" w:type="dxa"/>
            </w:tcMar>
          </w:tcPr>
          <w:p>
            <w:pPr>
              <w:jc w:val="left"/>
            </w:pPr>
            <w:r>
              <w:rPr>
                <w:rFonts w:ascii="Calibri" w:hAnsi="Calibri"/>
                <w:color w:val="2B2D42"/>
                <w:sz w:val="18"/>
              </w:rPr>
              <w:t>Validated as multi-SKU orders; retained</w:t>
            </w:r>
          </w:p>
        </w:tc>
      </w:tr>
      <w:tr>
        <w:tc>
          <w:tcPr>
            <w:tcW w:type="dxa" w:w="1584"/>
            <w:shd w:fill="FFFFFF"/>
            <w:tcMar>
              <w:top w:w="80" w:type="dxa"/>
              <w:bottom w:w="80" w:type="dxa"/>
              <w:left w:w="120" w:type="dxa"/>
              <w:right w:w="120" w:type="dxa"/>
            </w:tcMar>
          </w:tcPr>
          <w:p>
            <w:pPr>
              <w:jc w:val="left"/>
            </w:pPr>
            <w:r>
              <w:rPr>
                <w:rFonts w:ascii="Calibri" w:hAnsi="Calibri"/>
                <w:color w:val="2B2D42"/>
                <w:sz w:val="18"/>
              </w:rPr>
              <w:t>Order Date</w:t>
            </w:r>
          </w:p>
        </w:tc>
        <w:tc>
          <w:tcPr>
            <w:tcW w:type="dxa" w:w="1296"/>
            <w:shd w:fill="FFFFFF"/>
            <w:tcMar>
              <w:top w:w="80" w:type="dxa"/>
              <w:bottom w:w="80" w:type="dxa"/>
              <w:left w:w="120" w:type="dxa"/>
              <w:right w:w="120" w:type="dxa"/>
            </w:tcMar>
          </w:tcPr>
          <w:p>
            <w:pPr>
              <w:jc w:val="left"/>
            </w:pPr>
            <w:r>
              <w:rPr>
                <w:rFonts w:ascii="Calibri" w:hAnsi="Calibri"/>
                <w:color w:val="2B2D42"/>
                <w:sz w:val="18"/>
              </w:rPr>
              <w:t>Character</w:t>
            </w:r>
          </w:p>
        </w:tc>
        <w:tc>
          <w:tcPr>
            <w:tcW w:type="dxa" w:w="1152"/>
            <w:shd w:fill="FFFFFF"/>
            <w:tcMar>
              <w:top w:w="80" w:type="dxa"/>
              <w:bottom w:w="80" w:type="dxa"/>
              <w:left w:w="120" w:type="dxa"/>
              <w:right w:w="120" w:type="dxa"/>
            </w:tcMar>
          </w:tcPr>
          <w:p>
            <w:pPr>
              <w:jc w:val="right"/>
            </w:pPr>
            <w:r>
              <w:rPr>
                <w:rFonts w:ascii="Calibri" w:hAnsi="Calibri"/>
                <w:color w:val="2B2D42"/>
                <w:sz w:val="18"/>
              </w:rPr>
              <w:t>0 (0.0%)</w:t>
            </w:r>
          </w:p>
        </w:tc>
        <w:tc>
          <w:tcPr>
            <w:tcW w:type="dxa" w:w="1008"/>
            <w:shd w:fill="FFFFFF"/>
            <w:tcMar>
              <w:top w:w="80" w:type="dxa"/>
              <w:bottom w:w="80" w:type="dxa"/>
              <w:left w:w="120" w:type="dxa"/>
              <w:right w:w="120" w:type="dxa"/>
            </w:tcMar>
          </w:tcPr>
          <w:p>
            <w:pPr>
              <w:jc w:val="right"/>
            </w:pPr>
            <w:r>
              <w:rPr>
                <w:rFonts w:ascii="Calibri" w:hAnsi="Calibri"/>
                <w:color w:val="2B2D42"/>
                <w:sz w:val="18"/>
              </w:rPr>
              <w:t>1,237</w:t>
            </w:r>
          </w:p>
        </w:tc>
        <w:tc>
          <w:tcPr>
            <w:tcW w:type="dxa" w:w="2592"/>
            <w:shd w:fill="FFFFFF"/>
            <w:tcMar>
              <w:top w:w="80" w:type="dxa"/>
              <w:bottom w:w="80" w:type="dxa"/>
              <w:left w:w="120" w:type="dxa"/>
              <w:right w:w="120" w:type="dxa"/>
            </w:tcMar>
          </w:tcPr>
          <w:p>
            <w:pPr>
              <w:jc w:val="left"/>
            </w:pPr>
            <w:r>
              <w:rPr>
                <w:rFonts w:ascii="Calibri" w:hAnsi="Calibri"/>
                <w:color w:val="2B2D42"/>
                <w:sz w:val="18"/>
              </w:rPr>
              <w:t>Encoded as DD-MM-YYYY string</w:t>
            </w:r>
          </w:p>
        </w:tc>
        <w:tc>
          <w:tcPr>
            <w:tcW w:type="dxa" w:w="1728"/>
            <w:shd w:fill="FFFFFF"/>
            <w:tcMar>
              <w:top w:w="80" w:type="dxa"/>
              <w:bottom w:w="80" w:type="dxa"/>
              <w:left w:w="120" w:type="dxa"/>
              <w:right w:w="120" w:type="dxa"/>
            </w:tcMar>
          </w:tcPr>
          <w:p>
            <w:pPr>
              <w:jc w:val="left"/>
            </w:pPr>
            <w:r>
              <w:rPr>
                <w:rFonts w:ascii="Calibri" w:hAnsi="Calibri"/>
                <w:color w:val="2B2D42"/>
                <w:sz w:val="18"/>
              </w:rPr>
              <w:t>Parsed via lubridate::dmy() into Date</w:t>
            </w:r>
          </w:p>
        </w:tc>
      </w:tr>
      <w:tr>
        <w:tc>
          <w:tcPr>
            <w:tcW w:type="dxa" w:w="1584"/>
            <w:shd w:fill="F8F9FA"/>
            <w:tcMar>
              <w:top w:w="80" w:type="dxa"/>
              <w:bottom w:w="80" w:type="dxa"/>
              <w:left w:w="120" w:type="dxa"/>
              <w:right w:w="120" w:type="dxa"/>
            </w:tcMar>
          </w:tcPr>
          <w:p>
            <w:pPr>
              <w:jc w:val="left"/>
            </w:pPr>
            <w:r>
              <w:rPr>
                <w:rFonts w:ascii="Calibri" w:hAnsi="Calibri"/>
                <w:color w:val="2B2D42"/>
                <w:sz w:val="18"/>
              </w:rPr>
              <w:t>Ship Date</w:t>
            </w:r>
          </w:p>
        </w:tc>
        <w:tc>
          <w:tcPr>
            <w:tcW w:type="dxa" w:w="1296"/>
            <w:shd w:fill="F8F9FA"/>
            <w:tcMar>
              <w:top w:w="80" w:type="dxa"/>
              <w:bottom w:w="80" w:type="dxa"/>
              <w:left w:w="120" w:type="dxa"/>
              <w:right w:w="120" w:type="dxa"/>
            </w:tcMar>
          </w:tcPr>
          <w:p>
            <w:pPr>
              <w:jc w:val="left"/>
            </w:pPr>
            <w:r>
              <w:rPr>
                <w:rFonts w:ascii="Calibri" w:hAnsi="Calibri"/>
                <w:color w:val="2B2D42"/>
                <w:sz w:val="18"/>
              </w:rPr>
              <w:t>Character</w:t>
            </w:r>
          </w:p>
        </w:tc>
        <w:tc>
          <w:tcPr>
            <w:tcW w:type="dxa" w:w="1152"/>
            <w:shd w:fill="F8F9FA"/>
            <w:tcMar>
              <w:top w:w="80" w:type="dxa"/>
              <w:bottom w:w="80" w:type="dxa"/>
              <w:left w:w="120" w:type="dxa"/>
              <w:right w:w="120" w:type="dxa"/>
            </w:tcMar>
          </w:tcPr>
          <w:p>
            <w:pPr>
              <w:jc w:val="right"/>
            </w:pPr>
            <w:r>
              <w:rPr>
                <w:rFonts w:ascii="Calibri" w:hAnsi="Calibri"/>
                <w:color w:val="2B2D42"/>
                <w:sz w:val="18"/>
              </w:rPr>
              <w:t>0 (0.0%)</w:t>
            </w:r>
          </w:p>
        </w:tc>
        <w:tc>
          <w:tcPr>
            <w:tcW w:type="dxa" w:w="1008"/>
            <w:shd w:fill="F8F9FA"/>
            <w:tcMar>
              <w:top w:w="80" w:type="dxa"/>
              <w:bottom w:w="80" w:type="dxa"/>
              <w:left w:w="120" w:type="dxa"/>
              <w:right w:w="120" w:type="dxa"/>
            </w:tcMar>
          </w:tcPr>
          <w:p>
            <w:pPr>
              <w:jc w:val="right"/>
            </w:pPr>
            <w:r>
              <w:rPr>
                <w:rFonts w:ascii="Calibri" w:hAnsi="Calibri"/>
                <w:color w:val="2B2D42"/>
                <w:sz w:val="18"/>
              </w:rPr>
              <w:t>1,330</w:t>
            </w:r>
          </w:p>
        </w:tc>
        <w:tc>
          <w:tcPr>
            <w:tcW w:type="dxa" w:w="2592"/>
            <w:shd w:fill="F8F9FA"/>
            <w:tcMar>
              <w:top w:w="80" w:type="dxa"/>
              <w:bottom w:w="80" w:type="dxa"/>
              <w:left w:w="120" w:type="dxa"/>
              <w:right w:w="120" w:type="dxa"/>
            </w:tcMar>
          </w:tcPr>
          <w:p>
            <w:pPr>
              <w:jc w:val="left"/>
            </w:pPr>
            <w:r>
              <w:rPr>
                <w:rFonts w:ascii="Calibri" w:hAnsi="Calibri"/>
                <w:color w:val="2B2D42"/>
                <w:sz w:val="18"/>
              </w:rPr>
              <w:t>Encoded as DD-MM-YYYY string</w:t>
            </w:r>
          </w:p>
        </w:tc>
        <w:tc>
          <w:tcPr>
            <w:tcW w:type="dxa" w:w="1728"/>
            <w:shd w:fill="F8F9FA"/>
            <w:tcMar>
              <w:top w:w="80" w:type="dxa"/>
              <w:bottom w:w="80" w:type="dxa"/>
              <w:left w:w="120" w:type="dxa"/>
              <w:right w:w="120" w:type="dxa"/>
            </w:tcMar>
          </w:tcPr>
          <w:p>
            <w:pPr>
              <w:jc w:val="left"/>
            </w:pPr>
            <w:r>
              <w:rPr>
                <w:rFonts w:ascii="Calibri" w:hAnsi="Calibri"/>
                <w:color w:val="2B2D42"/>
                <w:sz w:val="18"/>
              </w:rPr>
              <w:t>Parsed via lubridate::dmy() into Date</w:t>
            </w:r>
          </w:p>
        </w:tc>
      </w:tr>
      <w:tr>
        <w:tc>
          <w:tcPr>
            <w:tcW w:type="dxa" w:w="1584"/>
            <w:shd w:fill="FFFFFF"/>
            <w:tcMar>
              <w:top w:w="80" w:type="dxa"/>
              <w:bottom w:w="80" w:type="dxa"/>
              <w:left w:w="120" w:type="dxa"/>
              <w:right w:w="120" w:type="dxa"/>
            </w:tcMar>
          </w:tcPr>
          <w:p>
            <w:pPr>
              <w:jc w:val="left"/>
            </w:pPr>
            <w:r>
              <w:rPr>
                <w:rFonts w:ascii="Calibri" w:hAnsi="Calibri"/>
                <w:color w:val="2B2D42"/>
                <w:sz w:val="18"/>
              </w:rPr>
              <w:t>Ship Mode</w:t>
            </w:r>
          </w:p>
        </w:tc>
        <w:tc>
          <w:tcPr>
            <w:tcW w:type="dxa" w:w="1296"/>
            <w:shd w:fill="FFFFFF"/>
            <w:tcMar>
              <w:top w:w="80" w:type="dxa"/>
              <w:bottom w:w="80" w:type="dxa"/>
              <w:left w:w="120" w:type="dxa"/>
              <w:right w:w="120" w:type="dxa"/>
            </w:tcMar>
          </w:tcPr>
          <w:p>
            <w:pPr>
              <w:jc w:val="left"/>
            </w:pPr>
            <w:r>
              <w:rPr>
                <w:rFonts w:ascii="Calibri" w:hAnsi="Calibri"/>
                <w:color w:val="2B2D42"/>
                <w:sz w:val="18"/>
              </w:rPr>
              <w:t>Character</w:t>
            </w:r>
          </w:p>
        </w:tc>
        <w:tc>
          <w:tcPr>
            <w:tcW w:type="dxa" w:w="1152"/>
            <w:shd w:fill="FFFFFF"/>
            <w:tcMar>
              <w:top w:w="80" w:type="dxa"/>
              <w:bottom w:w="80" w:type="dxa"/>
              <w:left w:w="120" w:type="dxa"/>
              <w:right w:w="120" w:type="dxa"/>
            </w:tcMar>
          </w:tcPr>
          <w:p>
            <w:pPr>
              <w:jc w:val="right"/>
            </w:pPr>
            <w:r>
              <w:rPr>
                <w:rFonts w:ascii="Calibri" w:hAnsi="Calibri"/>
                <w:color w:val="2B2D42"/>
                <w:sz w:val="18"/>
              </w:rPr>
              <w:t>0 (0.0%)</w:t>
            </w:r>
          </w:p>
        </w:tc>
        <w:tc>
          <w:tcPr>
            <w:tcW w:type="dxa" w:w="1008"/>
            <w:shd w:fill="FFFFFF"/>
            <w:tcMar>
              <w:top w:w="80" w:type="dxa"/>
              <w:bottom w:w="80" w:type="dxa"/>
              <w:left w:w="120" w:type="dxa"/>
              <w:right w:w="120" w:type="dxa"/>
            </w:tcMar>
          </w:tcPr>
          <w:p>
            <w:pPr>
              <w:jc w:val="right"/>
            </w:pPr>
            <w:r>
              <w:rPr>
                <w:rFonts w:ascii="Calibri" w:hAnsi="Calibri"/>
                <w:color w:val="2B2D42"/>
                <w:sz w:val="18"/>
              </w:rPr>
              <w:t>4</w:t>
            </w:r>
          </w:p>
        </w:tc>
        <w:tc>
          <w:tcPr>
            <w:tcW w:type="dxa" w:w="2592"/>
            <w:shd w:fill="FFFFFF"/>
            <w:tcMar>
              <w:top w:w="80" w:type="dxa"/>
              <w:bottom w:w="80" w:type="dxa"/>
              <w:left w:w="120" w:type="dxa"/>
              <w:right w:w="120" w:type="dxa"/>
            </w:tcMar>
          </w:tcPr>
          <w:p>
            <w:pPr>
              <w:jc w:val="left"/>
            </w:pPr>
            <w:r>
              <w:rPr>
                <w:rFonts w:ascii="Calibri" w:hAnsi="Calibri"/>
                <w:color w:val="2B2D42"/>
                <w:sz w:val="18"/>
              </w:rPr>
              <w:t>None (Standard delivery classes)</w:t>
            </w:r>
          </w:p>
        </w:tc>
        <w:tc>
          <w:tcPr>
            <w:tcW w:type="dxa" w:w="1728"/>
            <w:shd w:fill="FFFFFF"/>
            <w:tcMar>
              <w:top w:w="80" w:type="dxa"/>
              <w:bottom w:w="80" w:type="dxa"/>
              <w:left w:w="120" w:type="dxa"/>
              <w:right w:w="120" w:type="dxa"/>
            </w:tcMar>
          </w:tcPr>
          <w:p>
            <w:pPr>
              <w:jc w:val="left"/>
            </w:pPr>
            <w:r>
              <w:rPr>
                <w:rFonts w:ascii="Calibri" w:hAnsi="Calibri"/>
                <w:color w:val="2B2D42"/>
                <w:sz w:val="18"/>
              </w:rPr>
              <w:t>Standardized as ordered factor</w:t>
            </w:r>
          </w:p>
        </w:tc>
      </w:tr>
      <w:tr>
        <w:tc>
          <w:tcPr>
            <w:tcW w:type="dxa" w:w="1584"/>
            <w:shd w:fill="F8F9FA"/>
            <w:tcMar>
              <w:top w:w="80" w:type="dxa"/>
              <w:bottom w:w="80" w:type="dxa"/>
              <w:left w:w="120" w:type="dxa"/>
              <w:right w:w="120" w:type="dxa"/>
            </w:tcMar>
          </w:tcPr>
          <w:p>
            <w:pPr>
              <w:jc w:val="left"/>
            </w:pPr>
            <w:r>
              <w:rPr>
                <w:rFonts w:ascii="Calibri" w:hAnsi="Calibri"/>
                <w:color w:val="2B2D42"/>
                <w:sz w:val="18"/>
              </w:rPr>
              <w:t>Customer ID</w:t>
            </w:r>
          </w:p>
        </w:tc>
        <w:tc>
          <w:tcPr>
            <w:tcW w:type="dxa" w:w="1296"/>
            <w:shd w:fill="F8F9FA"/>
            <w:tcMar>
              <w:top w:w="80" w:type="dxa"/>
              <w:bottom w:w="80" w:type="dxa"/>
              <w:left w:w="120" w:type="dxa"/>
              <w:right w:w="120" w:type="dxa"/>
            </w:tcMar>
          </w:tcPr>
          <w:p>
            <w:pPr>
              <w:jc w:val="left"/>
            </w:pPr>
            <w:r>
              <w:rPr>
                <w:rFonts w:ascii="Calibri" w:hAnsi="Calibri"/>
                <w:color w:val="2B2D42"/>
                <w:sz w:val="18"/>
              </w:rPr>
              <w:t>Character</w:t>
            </w:r>
          </w:p>
        </w:tc>
        <w:tc>
          <w:tcPr>
            <w:tcW w:type="dxa" w:w="1152"/>
            <w:shd w:fill="F8F9FA"/>
            <w:tcMar>
              <w:top w:w="80" w:type="dxa"/>
              <w:bottom w:w="80" w:type="dxa"/>
              <w:left w:w="120" w:type="dxa"/>
              <w:right w:w="120" w:type="dxa"/>
            </w:tcMar>
          </w:tcPr>
          <w:p>
            <w:pPr>
              <w:jc w:val="right"/>
            </w:pPr>
            <w:r>
              <w:rPr>
                <w:rFonts w:ascii="Calibri" w:hAnsi="Calibri"/>
                <w:color w:val="2B2D42"/>
                <w:sz w:val="18"/>
              </w:rPr>
              <w:t>0 (0.0%)</w:t>
            </w:r>
          </w:p>
        </w:tc>
        <w:tc>
          <w:tcPr>
            <w:tcW w:type="dxa" w:w="1008"/>
            <w:shd w:fill="F8F9FA"/>
            <w:tcMar>
              <w:top w:w="80" w:type="dxa"/>
              <w:bottom w:w="80" w:type="dxa"/>
              <w:left w:w="120" w:type="dxa"/>
              <w:right w:w="120" w:type="dxa"/>
            </w:tcMar>
          </w:tcPr>
          <w:p>
            <w:pPr>
              <w:jc w:val="right"/>
            </w:pPr>
            <w:r>
              <w:rPr>
                <w:rFonts w:ascii="Calibri" w:hAnsi="Calibri"/>
                <w:color w:val="2B2D42"/>
                <w:sz w:val="18"/>
              </w:rPr>
              <w:t>793</w:t>
            </w:r>
          </w:p>
        </w:tc>
        <w:tc>
          <w:tcPr>
            <w:tcW w:type="dxa" w:w="2592"/>
            <w:shd w:fill="F8F9FA"/>
            <w:tcMar>
              <w:top w:w="80" w:type="dxa"/>
              <w:bottom w:w="80" w:type="dxa"/>
              <w:left w:w="120" w:type="dxa"/>
              <w:right w:w="120" w:type="dxa"/>
            </w:tcMar>
          </w:tcPr>
          <w:p>
            <w:pPr>
              <w:jc w:val="left"/>
            </w:pPr>
            <w:r>
              <w:rPr>
                <w:rFonts w:ascii="Calibri" w:hAnsi="Calibri"/>
                <w:color w:val="2B2D42"/>
                <w:sz w:val="18"/>
              </w:rPr>
              <w:t>None (Standard account keys)</w:t>
            </w:r>
          </w:p>
        </w:tc>
        <w:tc>
          <w:tcPr>
            <w:tcW w:type="dxa" w:w="1728"/>
            <w:shd w:fill="F8F9FA"/>
            <w:tcMar>
              <w:top w:w="80" w:type="dxa"/>
              <w:bottom w:w="80" w:type="dxa"/>
              <w:left w:w="120" w:type="dxa"/>
              <w:right w:w="120" w:type="dxa"/>
            </w:tcMar>
          </w:tcPr>
          <w:p>
            <w:pPr>
              <w:jc w:val="left"/>
            </w:pPr>
            <w:r>
              <w:rPr>
                <w:rFonts w:ascii="Calibri" w:hAnsi="Calibri"/>
                <w:color w:val="2B2D42"/>
                <w:sz w:val="18"/>
              </w:rPr>
              <w:t>Retained for customer portfolio analysis</w:t>
            </w:r>
          </w:p>
        </w:tc>
      </w:tr>
      <w:tr>
        <w:tc>
          <w:tcPr>
            <w:tcW w:type="dxa" w:w="1584"/>
            <w:shd w:fill="FFFFFF"/>
            <w:tcMar>
              <w:top w:w="80" w:type="dxa"/>
              <w:bottom w:w="80" w:type="dxa"/>
              <w:left w:w="120" w:type="dxa"/>
              <w:right w:w="120" w:type="dxa"/>
            </w:tcMar>
          </w:tcPr>
          <w:p>
            <w:pPr>
              <w:jc w:val="left"/>
            </w:pPr>
            <w:r>
              <w:rPr>
                <w:rFonts w:ascii="Calibri" w:hAnsi="Calibri"/>
                <w:color w:val="2B2D42"/>
                <w:sz w:val="18"/>
              </w:rPr>
              <w:t>Segment</w:t>
            </w:r>
          </w:p>
        </w:tc>
        <w:tc>
          <w:tcPr>
            <w:tcW w:type="dxa" w:w="1296"/>
            <w:shd w:fill="FFFFFF"/>
            <w:tcMar>
              <w:top w:w="80" w:type="dxa"/>
              <w:bottom w:w="80" w:type="dxa"/>
              <w:left w:w="120" w:type="dxa"/>
              <w:right w:w="120" w:type="dxa"/>
            </w:tcMar>
          </w:tcPr>
          <w:p>
            <w:pPr>
              <w:jc w:val="left"/>
            </w:pPr>
            <w:r>
              <w:rPr>
                <w:rFonts w:ascii="Calibri" w:hAnsi="Calibri"/>
                <w:color w:val="2B2D42"/>
                <w:sz w:val="18"/>
              </w:rPr>
              <w:t>Character</w:t>
            </w:r>
          </w:p>
        </w:tc>
        <w:tc>
          <w:tcPr>
            <w:tcW w:type="dxa" w:w="1152"/>
            <w:shd w:fill="FFFFFF"/>
            <w:tcMar>
              <w:top w:w="80" w:type="dxa"/>
              <w:bottom w:w="80" w:type="dxa"/>
              <w:left w:w="120" w:type="dxa"/>
              <w:right w:w="120" w:type="dxa"/>
            </w:tcMar>
          </w:tcPr>
          <w:p>
            <w:pPr>
              <w:jc w:val="right"/>
            </w:pPr>
            <w:r>
              <w:rPr>
                <w:rFonts w:ascii="Calibri" w:hAnsi="Calibri"/>
                <w:color w:val="2B2D42"/>
                <w:sz w:val="18"/>
              </w:rPr>
              <w:t>0 (0.0%)</w:t>
            </w:r>
          </w:p>
        </w:tc>
        <w:tc>
          <w:tcPr>
            <w:tcW w:type="dxa" w:w="1008"/>
            <w:shd w:fill="FFFFFF"/>
            <w:tcMar>
              <w:top w:w="80" w:type="dxa"/>
              <w:bottom w:w="80" w:type="dxa"/>
              <w:left w:w="120" w:type="dxa"/>
              <w:right w:w="120" w:type="dxa"/>
            </w:tcMar>
          </w:tcPr>
          <w:p>
            <w:pPr>
              <w:jc w:val="right"/>
            </w:pPr>
            <w:r>
              <w:rPr>
                <w:rFonts w:ascii="Calibri" w:hAnsi="Calibri"/>
                <w:color w:val="2B2D42"/>
                <w:sz w:val="18"/>
              </w:rPr>
              <w:t>3</w:t>
            </w:r>
          </w:p>
        </w:tc>
        <w:tc>
          <w:tcPr>
            <w:tcW w:type="dxa" w:w="2592"/>
            <w:shd w:fill="FFFFFF"/>
            <w:tcMar>
              <w:top w:w="80" w:type="dxa"/>
              <w:bottom w:w="80" w:type="dxa"/>
              <w:left w:w="120" w:type="dxa"/>
              <w:right w:w="120" w:type="dxa"/>
            </w:tcMar>
          </w:tcPr>
          <w:p>
            <w:pPr>
              <w:jc w:val="right"/>
            </w:pPr>
            <w:r>
              <w:rPr>
                <w:rFonts w:ascii="Calibri" w:hAnsi="Calibri"/>
                <w:color w:val="2B2D42"/>
                <w:sz w:val="18"/>
              </w:rPr>
              <w:t>None (3 core market segments)</w:t>
            </w:r>
          </w:p>
        </w:tc>
        <w:tc>
          <w:tcPr>
            <w:tcW w:type="dxa" w:w="1728"/>
            <w:shd w:fill="FFFFFF"/>
            <w:tcMar>
              <w:top w:w="80" w:type="dxa"/>
              <w:bottom w:w="80" w:type="dxa"/>
              <w:left w:w="120" w:type="dxa"/>
              <w:right w:w="120" w:type="dxa"/>
            </w:tcMar>
          </w:tcPr>
          <w:p>
            <w:pPr>
              <w:jc w:val="left"/>
            </w:pPr>
            <w:r>
              <w:rPr>
                <w:rFonts w:ascii="Calibri" w:hAnsi="Calibri"/>
                <w:color w:val="2B2D42"/>
                <w:sz w:val="18"/>
              </w:rPr>
              <w:t>Converted to factor for segmentation</w:t>
            </w:r>
          </w:p>
        </w:tc>
      </w:tr>
      <w:tr>
        <w:tc>
          <w:tcPr>
            <w:tcW w:type="dxa" w:w="1584"/>
            <w:shd w:fill="F8F9FA"/>
            <w:tcMar>
              <w:top w:w="80" w:type="dxa"/>
              <w:bottom w:w="80" w:type="dxa"/>
              <w:left w:w="120" w:type="dxa"/>
              <w:right w:w="120" w:type="dxa"/>
            </w:tcMar>
          </w:tcPr>
          <w:p>
            <w:pPr>
              <w:jc w:val="left"/>
            </w:pPr>
            <w:r>
              <w:rPr>
                <w:rFonts w:ascii="Calibri" w:hAnsi="Calibri"/>
                <w:color w:val="2B2D42"/>
                <w:sz w:val="18"/>
              </w:rPr>
              <w:t>Postal Code</w:t>
            </w:r>
          </w:p>
        </w:tc>
        <w:tc>
          <w:tcPr>
            <w:tcW w:type="dxa" w:w="1296"/>
            <w:shd w:fill="F8F9FA"/>
            <w:tcMar>
              <w:top w:w="80" w:type="dxa"/>
              <w:bottom w:w="80" w:type="dxa"/>
              <w:left w:w="120" w:type="dxa"/>
              <w:right w:w="120" w:type="dxa"/>
            </w:tcMar>
          </w:tcPr>
          <w:p>
            <w:pPr>
              <w:jc w:val="left"/>
            </w:pPr>
            <w:r>
              <w:rPr>
                <w:rFonts w:ascii="Calibri" w:hAnsi="Calibri"/>
                <w:color w:val="2B2D42"/>
                <w:sz w:val="18"/>
              </w:rPr>
              <w:t>Character</w:t>
            </w:r>
          </w:p>
        </w:tc>
        <w:tc>
          <w:tcPr>
            <w:tcW w:type="dxa" w:w="1152"/>
            <w:shd w:fill="F8F9FA"/>
            <w:tcMar>
              <w:top w:w="80" w:type="dxa"/>
              <w:bottom w:w="80" w:type="dxa"/>
              <w:left w:w="120" w:type="dxa"/>
              <w:right w:w="120" w:type="dxa"/>
            </w:tcMar>
          </w:tcPr>
          <w:p>
            <w:pPr>
              <w:jc w:val="right"/>
            </w:pPr>
            <w:r>
              <w:rPr>
                <w:rFonts w:ascii="Calibri" w:hAnsi="Calibri"/>
                <w:color w:val="2B2D42"/>
                <w:sz w:val="18"/>
              </w:rPr>
              <w:t>0 (0.0%)</w:t>
            </w:r>
          </w:p>
        </w:tc>
        <w:tc>
          <w:tcPr>
            <w:tcW w:type="dxa" w:w="1008"/>
            <w:shd w:fill="F8F9FA"/>
            <w:tcMar>
              <w:top w:w="80" w:type="dxa"/>
              <w:bottom w:w="80" w:type="dxa"/>
              <w:left w:w="120" w:type="dxa"/>
              <w:right w:w="120" w:type="dxa"/>
            </w:tcMar>
          </w:tcPr>
          <w:p>
            <w:pPr>
              <w:jc w:val="right"/>
            </w:pPr>
            <w:r>
              <w:rPr>
                <w:rFonts w:ascii="Calibri" w:hAnsi="Calibri"/>
                <w:color w:val="2B2D42"/>
                <w:sz w:val="18"/>
              </w:rPr>
              <w:t>631</w:t>
            </w:r>
          </w:p>
        </w:tc>
        <w:tc>
          <w:tcPr>
            <w:tcW w:type="dxa" w:w="2592"/>
            <w:shd w:fill="F8F9FA"/>
            <w:tcMar>
              <w:top w:w="80" w:type="dxa"/>
              <w:bottom w:w="80" w:type="dxa"/>
              <w:left w:w="120" w:type="dxa"/>
              <w:right w:w="120" w:type="dxa"/>
            </w:tcMar>
          </w:tcPr>
          <w:p>
            <w:pPr>
              <w:jc w:val="left"/>
            </w:pPr>
            <w:r>
              <w:rPr>
                <w:rFonts w:ascii="Calibri" w:hAnsi="Calibri"/>
                <w:color w:val="2B2D42"/>
                <w:sz w:val="18"/>
              </w:rPr>
              <w:t>Potential loss of leading zeroes</w:t>
            </w:r>
          </w:p>
        </w:tc>
        <w:tc>
          <w:tcPr>
            <w:tcW w:type="dxa" w:w="1728"/>
            <w:shd w:fill="F8F9FA"/>
            <w:tcMar>
              <w:top w:w="80" w:type="dxa"/>
              <w:bottom w:w="80" w:type="dxa"/>
              <w:left w:w="120" w:type="dxa"/>
              <w:right w:w="120" w:type="dxa"/>
            </w:tcMar>
          </w:tcPr>
          <w:p>
            <w:pPr>
              <w:jc w:val="right"/>
            </w:pPr>
            <w:r>
              <w:rPr>
                <w:rFonts w:ascii="Calibri" w:hAnsi="Calibri"/>
                <w:color w:val="2B2D42"/>
                <w:sz w:val="18"/>
              </w:rPr>
              <w:t>Maintained as 5-character string</w:t>
            </w:r>
          </w:p>
        </w:tc>
      </w:tr>
      <w:tr>
        <w:tc>
          <w:tcPr>
            <w:tcW w:type="dxa" w:w="1584"/>
            <w:shd w:fill="FFFFFF"/>
            <w:tcMar>
              <w:top w:w="80" w:type="dxa"/>
              <w:bottom w:w="80" w:type="dxa"/>
              <w:left w:w="120" w:type="dxa"/>
              <w:right w:w="120" w:type="dxa"/>
            </w:tcMar>
          </w:tcPr>
          <w:p>
            <w:pPr>
              <w:jc w:val="left"/>
            </w:pPr>
            <w:r>
              <w:rPr>
                <w:rFonts w:ascii="Calibri" w:hAnsi="Calibri"/>
                <w:color w:val="2B2D42"/>
                <w:sz w:val="18"/>
              </w:rPr>
              <w:t>Region</w:t>
            </w:r>
          </w:p>
        </w:tc>
        <w:tc>
          <w:tcPr>
            <w:tcW w:type="dxa" w:w="1296"/>
            <w:shd w:fill="FFFFFF"/>
            <w:tcMar>
              <w:top w:w="80" w:type="dxa"/>
              <w:bottom w:w="80" w:type="dxa"/>
              <w:left w:w="120" w:type="dxa"/>
              <w:right w:w="120" w:type="dxa"/>
            </w:tcMar>
          </w:tcPr>
          <w:p>
            <w:pPr>
              <w:jc w:val="left"/>
            </w:pPr>
            <w:r>
              <w:rPr>
                <w:rFonts w:ascii="Calibri" w:hAnsi="Calibri"/>
                <w:color w:val="2B2D42"/>
                <w:sz w:val="18"/>
              </w:rPr>
              <w:t>Character</w:t>
            </w:r>
          </w:p>
        </w:tc>
        <w:tc>
          <w:tcPr>
            <w:tcW w:type="dxa" w:w="1152"/>
            <w:shd w:fill="FFFFFF"/>
            <w:tcMar>
              <w:top w:w="80" w:type="dxa"/>
              <w:bottom w:w="80" w:type="dxa"/>
              <w:left w:w="120" w:type="dxa"/>
              <w:right w:w="120" w:type="dxa"/>
            </w:tcMar>
          </w:tcPr>
          <w:p>
            <w:pPr>
              <w:jc w:val="right"/>
            </w:pPr>
            <w:r>
              <w:rPr>
                <w:rFonts w:ascii="Calibri" w:hAnsi="Calibri"/>
                <w:color w:val="2B2D42"/>
                <w:sz w:val="18"/>
              </w:rPr>
              <w:t>0 (0.0%)</w:t>
            </w:r>
          </w:p>
        </w:tc>
        <w:tc>
          <w:tcPr>
            <w:tcW w:type="dxa" w:w="1008"/>
            <w:shd w:fill="FFFFFF"/>
            <w:tcMar>
              <w:top w:w="80" w:type="dxa"/>
              <w:bottom w:w="80" w:type="dxa"/>
              <w:left w:w="120" w:type="dxa"/>
              <w:right w:w="120" w:type="dxa"/>
            </w:tcMar>
          </w:tcPr>
          <w:p>
            <w:pPr>
              <w:jc w:val="right"/>
            </w:pPr>
            <w:r>
              <w:rPr>
                <w:rFonts w:ascii="Calibri" w:hAnsi="Calibri"/>
                <w:color w:val="2B2D42"/>
                <w:sz w:val="18"/>
              </w:rPr>
              <w:t>4</w:t>
            </w:r>
          </w:p>
        </w:tc>
        <w:tc>
          <w:tcPr>
            <w:tcW w:type="dxa" w:w="2592"/>
            <w:shd w:fill="FFFFFF"/>
            <w:tcMar>
              <w:top w:w="80" w:type="dxa"/>
              <w:bottom w:w="80" w:type="dxa"/>
              <w:left w:w="120" w:type="dxa"/>
              <w:right w:w="120" w:type="dxa"/>
            </w:tcMar>
          </w:tcPr>
          <w:p>
            <w:pPr>
              <w:jc w:val="right"/>
            </w:pPr>
            <w:r>
              <w:rPr>
                <w:rFonts w:ascii="Calibri" w:hAnsi="Calibri"/>
                <w:color w:val="2B2D42"/>
                <w:sz w:val="18"/>
              </w:rPr>
              <w:t>None (4 geographic quadrants)</w:t>
            </w:r>
          </w:p>
        </w:tc>
        <w:tc>
          <w:tcPr>
            <w:tcW w:type="dxa" w:w="1728"/>
            <w:shd w:fill="FFFFFF"/>
            <w:tcMar>
              <w:top w:w="80" w:type="dxa"/>
              <w:bottom w:w="80" w:type="dxa"/>
              <w:left w:w="120" w:type="dxa"/>
              <w:right w:w="120" w:type="dxa"/>
            </w:tcMar>
          </w:tcPr>
          <w:p>
            <w:pPr>
              <w:jc w:val="left"/>
            </w:pPr>
            <w:r>
              <w:rPr>
                <w:rFonts w:ascii="Calibri" w:hAnsi="Calibri"/>
                <w:color w:val="2B2D42"/>
                <w:sz w:val="18"/>
              </w:rPr>
              <w:t>Standardized as factor for regional analysis</w:t>
            </w:r>
          </w:p>
        </w:tc>
      </w:tr>
      <w:tr>
        <w:tc>
          <w:tcPr>
            <w:tcW w:type="dxa" w:w="1584"/>
            <w:shd w:fill="F8F9FA"/>
            <w:tcMar>
              <w:top w:w="80" w:type="dxa"/>
              <w:bottom w:w="80" w:type="dxa"/>
              <w:left w:w="120" w:type="dxa"/>
              <w:right w:w="120" w:type="dxa"/>
            </w:tcMar>
          </w:tcPr>
          <w:p>
            <w:pPr>
              <w:jc w:val="left"/>
            </w:pPr>
            <w:r>
              <w:rPr>
                <w:rFonts w:ascii="Calibri" w:hAnsi="Calibri"/>
                <w:color w:val="2B2D42"/>
                <w:sz w:val="18"/>
              </w:rPr>
              <w:t>Category</w:t>
            </w:r>
          </w:p>
        </w:tc>
        <w:tc>
          <w:tcPr>
            <w:tcW w:type="dxa" w:w="1296"/>
            <w:shd w:fill="F8F9FA"/>
            <w:tcMar>
              <w:top w:w="80" w:type="dxa"/>
              <w:bottom w:w="80" w:type="dxa"/>
              <w:left w:w="120" w:type="dxa"/>
              <w:right w:w="120" w:type="dxa"/>
            </w:tcMar>
          </w:tcPr>
          <w:p>
            <w:pPr>
              <w:jc w:val="left"/>
            </w:pPr>
            <w:r>
              <w:rPr>
                <w:rFonts w:ascii="Calibri" w:hAnsi="Calibri"/>
                <w:color w:val="2B2D42"/>
                <w:sz w:val="18"/>
              </w:rPr>
              <w:t>Character</w:t>
            </w:r>
          </w:p>
        </w:tc>
        <w:tc>
          <w:tcPr>
            <w:tcW w:type="dxa" w:w="1152"/>
            <w:shd w:fill="F8F9FA"/>
            <w:tcMar>
              <w:top w:w="80" w:type="dxa"/>
              <w:bottom w:w="80" w:type="dxa"/>
              <w:left w:w="120" w:type="dxa"/>
              <w:right w:w="120" w:type="dxa"/>
            </w:tcMar>
          </w:tcPr>
          <w:p>
            <w:pPr>
              <w:jc w:val="right"/>
            </w:pPr>
            <w:r>
              <w:rPr>
                <w:rFonts w:ascii="Calibri" w:hAnsi="Calibri"/>
                <w:color w:val="2B2D42"/>
                <w:sz w:val="18"/>
              </w:rPr>
              <w:t>0 (0.0%)</w:t>
            </w:r>
          </w:p>
        </w:tc>
        <w:tc>
          <w:tcPr>
            <w:tcW w:type="dxa" w:w="1008"/>
            <w:shd w:fill="F8F9FA"/>
            <w:tcMar>
              <w:top w:w="80" w:type="dxa"/>
              <w:bottom w:w="80" w:type="dxa"/>
              <w:left w:w="120" w:type="dxa"/>
              <w:right w:w="120" w:type="dxa"/>
            </w:tcMar>
          </w:tcPr>
          <w:p>
            <w:pPr>
              <w:jc w:val="right"/>
            </w:pPr>
            <w:r>
              <w:rPr>
                <w:rFonts w:ascii="Calibri" w:hAnsi="Calibri"/>
                <w:color w:val="2B2D42"/>
                <w:sz w:val="18"/>
              </w:rPr>
              <w:t>3</w:t>
            </w:r>
          </w:p>
        </w:tc>
        <w:tc>
          <w:tcPr>
            <w:tcW w:type="dxa" w:w="2592"/>
            <w:shd w:fill="F8F9FA"/>
            <w:tcMar>
              <w:top w:w="80" w:type="dxa"/>
              <w:bottom w:w="80" w:type="dxa"/>
              <w:left w:w="120" w:type="dxa"/>
              <w:right w:w="120" w:type="dxa"/>
            </w:tcMar>
          </w:tcPr>
          <w:p>
            <w:pPr>
              <w:jc w:val="right"/>
            </w:pPr>
            <w:r>
              <w:rPr>
                <w:rFonts w:ascii="Calibri" w:hAnsi="Calibri"/>
                <w:color w:val="2B2D42"/>
                <w:sz w:val="18"/>
              </w:rPr>
              <w:t>None (3 core merchandise depts)</w:t>
            </w:r>
          </w:p>
        </w:tc>
        <w:tc>
          <w:tcPr>
            <w:tcW w:type="dxa" w:w="1728"/>
            <w:shd w:fill="F8F9FA"/>
            <w:tcMar>
              <w:top w:w="80" w:type="dxa"/>
              <w:bottom w:w="80" w:type="dxa"/>
              <w:left w:w="120" w:type="dxa"/>
              <w:right w:w="120" w:type="dxa"/>
            </w:tcMar>
          </w:tcPr>
          <w:p>
            <w:pPr>
              <w:jc w:val="left"/>
            </w:pPr>
            <w:r>
              <w:rPr>
                <w:rFonts w:ascii="Calibri" w:hAnsi="Calibri"/>
                <w:color w:val="2B2D42"/>
                <w:sz w:val="18"/>
              </w:rPr>
              <w:t>Standardized as primary categorical factor</w:t>
            </w:r>
          </w:p>
        </w:tc>
      </w:tr>
      <w:tr>
        <w:tc>
          <w:tcPr>
            <w:tcW w:type="dxa" w:w="1584"/>
            <w:shd w:fill="FFFFFF"/>
            <w:tcMar>
              <w:top w:w="80" w:type="dxa"/>
              <w:bottom w:w="80" w:type="dxa"/>
              <w:left w:w="120" w:type="dxa"/>
              <w:right w:w="120" w:type="dxa"/>
            </w:tcMar>
          </w:tcPr>
          <w:p>
            <w:pPr>
              <w:jc w:val="left"/>
            </w:pPr>
            <w:r>
              <w:rPr>
                <w:rFonts w:ascii="Calibri" w:hAnsi="Calibri"/>
                <w:color w:val="2B2D42"/>
                <w:sz w:val="18"/>
              </w:rPr>
              <w:t>Sub-Category</w:t>
            </w:r>
          </w:p>
        </w:tc>
        <w:tc>
          <w:tcPr>
            <w:tcW w:type="dxa" w:w="1296"/>
            <w:shd w:fill="FFFFFF"/>
            <w:tcMar>
              <w:top w:w="80" w:type="dxa"/>
              <w:bottom w:w="80" w:type="dxa"/>
              <w:left w:w="120" w:type="dxa"/>
              <w:right w:w="120" w:type="dxa"/>
            </w:tcMar>
          </w:tcPr>
          <w:p>
            <w:pPr>
              <w:jc w:val="left"/>
            </w:pPr>
            <w:r>
              <w:rPr>
                <w:rFonts w:ascii="Calibri" w:hAnsi="Calibri"/>
                <w:color w:val="2B2D42"/>
                <w:sz w:val="18"/>
              </w:rPr>
              <w:t>Character</w:t>
            </w:r>
          </w:p>
        </w:tc>
        <w:tc>
          <w:tcPr>
            <w:tcW w:type="dxa" w:w="1152"/>
            <w:shd w:fill="FFFFFF"/>
            <w:tcMar>
              <w:top w:w="80" w:type="dxa"/>
              <w:bottom w:w="80" w:type="dxa"/>
              <w:left w:w="120" w:type="dxa"/>
              <w:right w:w="120" w:type="dxa"/>
            </w:tcMar>
          </w:tcPr>
          <w:p>
            <w:pPr>
              <w:jc w:val="right"/>
            </w:pPr>
            <w:r>
              <w:rPr>
                <w:rFonts w:ascii="Calibri" w:hAnsi="Calibri"/>
                <w:color w:val="2B2D42"/>
                <w:sz w:val="18"/>
              </w:rPr>
              <w:t>0 (0.0%)</w:t>
            </w:r>
          </w:p>
        </w:tc>
        <w:tc>
          <w:tcPr>
            <w:tcW w:type="dxa" w:w="1008"/>
            <w:shd w:fill="FFFFFF"/>
            <w:tcMar>
              <w:top w:w="80" w:type="dxa"/>
              <w:bottom w:w="80" w:type="dxa"/>
              <w:left w:w="120" w:type="dxa"/>
              <w:right w:w="120" w:type="dxa"/>
            </w:tcMar>
          </w:tcPr>
          <w:p>
            <w:pPr>
              <w:jc w:val="right"/>
            </w:pPr>
            <w:r>
              <w:rPr>
                <w:rFonts w:ascii="Calibri" w:hAnsi="Calibri"/>
                <w:color w:val="2B2D42"/>
                <w:sz w:val="18"/>
              </w:rPr>
              <w:t>17</w:t>
            </w:r>
          </w:p>
        </w:tc>
        <w:tc>
          <w:tcPr>
            <w:tcW w:type="dxa" w:w="2592"/>
            <w:shd w:fill="FFFFFF"/>
            <w:tcMar>
              <w:top w:w="80" w:type="dxa"/>
              <w:bottom w:w="80" w:type="dxa"/>
              <w:left w:w="120" w:type="dxa"/>
              <w:right w:w="120" w:type="dxa"/>
            </w:tcMar>
          </w:tcPr>
          <w:p>
            <w:pPr>
              <w:jc w:val="right"/>
            </w:pPr>
            <w:r>
              <w:rPr>
                <w:rFonts w:ascii="Calibri" w:hAnsi="Calibri"/>
                <w:color w:val="2B2D42"/>
                <w:sz w:val="18"/>
              </w:rPr>
              <w:t>None (17 distinct departments)</w:t>
            </w:r>
          </w:p>
        </w:tc>
        <w:tc>
          <w:tcPr>
            <w:tcW w:type="dxa" w:w="1728"/>
            <w:shd w:fill="FFFFFF"/>
            <w:tcMar>
              <w:top w:w="80" w:type="dxa"/>
              <w:bottom w:w="80" w:type="dxa"/>
              <w:left w:w="120" w:type="dxa"/>
              <w:right w:w="120" w:type="dxa"/>
            </w:tcMar>
          </w:tcPr>
          <w:p>
            <w:pPr>
              <w:jc w:val="left"/>
            </w:pPr>
            <w:r>
              <w:rPr>
                <w:rFonts w:ascii="Calibri" w:hAnsi="Calibri"/>
                <w:color w:val="2B2D42"/>
                <w:sz w:val="18"/>
              </w:rPr>
              <w:t>Standardized as detailed grouping factor</w:t>
            </w:r>
          </w:p>
        </w:tc>
      </w:tr>
      <w:tr>
        <w:tc>
          <w:tcPr>
            <w:tcW w:type="dxa" w:w="1584"/>
            <w:shd w:fill="F8F9FA"/>
            <w:tcMar>
              <w:top w:w="80" w:type="dxa"/>
              <w:bottom w:w="80" w:type="dxa"/>
              <w:left w:w="120" w:type="dxa"/>
              <w:right w:w="120" w:type="dxa"/>
            </w:tcMar>
          </w:tcPr>
          <w:p>
            <w:pPr>
              <w:jc w:val="left"/>
            </w:pPr>
            <w:r>
              <w:rPr>
                <w:rFonts w:ascii="Calibri" w:hAnsi="Calibri"/>
                <w:color w:val="2B2D42"/>
                <w:sz w:val="18"/>
              </w:rPr>
              <w:t>Sales</w:t>
            </w:r>
          </w:p>
        </w:tc>
        <w:tc>
          <w:tcPr>
            <w:tcW w:type="dxa" w:w="1296"/>
            <w:shd w:fill="F8F9FA"/>
            <w:tcMar>
              <w:top w:w="80" w:type="dxa"/>
              <w:bottom w:w="80" w:type="dxa"/>
              <w:left w:w="120" w:type="dxa"/>
              <w:right w:w="120" w:type="dxa"/>
            </w:tcMar>
          </w:tcPr>
          <w:p>
            <w:pPr>
              <w:jc w:val="left"/>
            </w:pPr>
            <w:r>
              <w:rPr>
                <w:rFonts w:ascii="Calibri" w:hAnsi="Calibri"/>
                <w:color w:val="2B2D42"/>
                <w:sz w:val="18"/>
              </w:rPr>
              <w:t>Numeric</w:t>
            </w:r>
          </w:p>
        </w:tc>
        <w:tc>
          <w:tcPr>
            <w:tcW w:type="dxa" w:w="1152"/>
            <w:shd w:fill="F8F9FA"/>
            <w:tcMar>
              <w:top w:w="80" w:type="dxa"/>
              <w:bottom w:w="80" w:type="dxa"/>
              <w:left w:w="120" w:type="dxa"/>
              <w:right w:w="120" w:type="dxa"/>
            </w:tcMar>
          </w:tcPr>
          <w:p>
            <w:pPr>
              <w:jc w:val="right"/>
            </w:pPr>
            <w:r>
              <w:rPr>
                <w:rFonts w:ascii="Calibri" w:hAnsi="Calibri"/>
                <w:color w:val="2B2D42"/>
                <w:sz w:val="18"/>
              </w:rPr>
              <w:t>0 (0.0%)</w:t>
            </w:r>
          </w:p>
        </w:tc>
        <w:tc>
          <w:tcPr>
            <w:tcW w:type="dxa" w:w="1008"/>
            <w:shd w:fill="F8F9FA"/>
            <w:tcMar>
              <w:top w:w="80" w:type="dxa"/>
              <w:bottom w:w="80" w:type="dxa"/>
              <w:left w:w="120" w:type="dxa"/>
              <w:right w:w="120" w:type="dxa"/>
            </w:tcMar>
          </w:tcPr>
          <w:p>
            <w:pPr>
              <w:jc w:val="right"/>
            </w:pPr>
            <w:r>
              <w:rPr>
                <w:rFonts w:ascii="Calibri" w:hAnsi="Calibri"/>
                <w:color w:val="2B2D42"/>
                <w:sz w:val="18"/>
              </w:rPr>
              <w:t>5,825</w:t>
            </w:r>
          </w:p>
        </w:tc>
        <w:tc>
          <w:tcPr>
            <w:tcW w:type="dxa" w:w="2592"/>
            <w:shd w:fill="F8F9FA"/>
            <w:tcMar>
              <w:top w:w="80" w:type="dxa"/>
              <w:bottom w:w="80" w:type="dxa"/>
              <w:left w:w="120" w:type="dxa"/>
              <w:right w:w="120" w:type="dxa"/>
            </w:tcMar>
          </w:tcPr>
          <w:p>
            <w:pPr>
              <w:jc w:val="right"/>
            </w:pPr>
            <w:r>
              <w:rPr>
                <w:rFonts w:ascii="Calibri" w:hAnsi="Calibri"/>
                <w:color w:val="2B2D42"/>
                <w:sz w:val="18"/>
              </w:rPr>
              <w:t>Extreme positive skew (Max: $22.6K)</w:t>
            </w:r>
          </w:p>
        </w:tc>
        <w:tc>
          <w:tcPr>
            <w:tcW w:type="dxa" w:w="1728"/>
            <w:shd w:fill="F8F9FA"/>
            <w:tcMar>
              <w:top w:w="80" w:type="dxa"/>
              <w:bottom w:w="80" w:type="dxa"/>
              <w:left w:w="120" w:type="dxa"/>
              <w:right w:w="120" w:type="dxa"/>
            </w:tcMar>
          </w:tcPr>
          <w:p>
            <w:pPr>
              <w:jc w:val="right"/>
            </w:pPr>
            <w:r>
              <w:rPr>
                <w:rFonts w:ascii="Calibri" w:hAnsi="Calibri"/>
                <w:color w:val="2B2D42"/>
                <w:sz w:val="18"/>
              </w:rPr>
              <w:t>Validated min &gt; $0; retained native currency</w:t>
            </w:r>
          </w:p>
        </w:tc>
      </w:tr>
      <w:tr>
        <w:tc>
          <w:tcPr>
            <w:tcW w:type="dxa" w:w="1584"/>
            <w:shd w:fill="FFFFFF"/>
            <w:tcMar>
              <w:top w:w="80" w:type="dxa"/>
              <w:bottom w:w="80" w:type="dxa"/>
              <w:left w:w="120" w:type="dxa"/>
              <w:right w:w="120" w:type="dxa"/>
            </w:tcMar>
          </w:tcPr>
          <w:p>
            <w:pPr>
              <w:jc w:val="left"/>
            </w:pPr>
            <w:r>
              <w:rPr>
                <w:rFonts w:ascii="Calibri" w:hAnsi="Calibri"/>
                <w:color w:val="2B2D42"/>
                <w:sz w:val="18"/>
              </w:rPr>
              <w:t>Quantity</w:t>
            </w:r>
          </w:p>
        </w:tc>
        <w:tc>
          <w:tcPr>
            <w:tcW w:type="dxa" w:w="1296"/>
            <w:shd w:fill="FFFFFF"/>
            <w:tcMar>
              <w:top w:w="80" w:type="dxa"/>
              <w:bottom w:w="80" w:type="dxa"/>
              <w:left w:w="120" w:type="dxa"/>
              <w:right w:w="120" w:type="dxa"/>
            </w:tcMar>
          </w:tcPr>
          <w:p>
            <w:pPr>
              <w:jc w:val="left"/>
            </w:pPr>
            <w:r>
              <w:rPr>
                <w:rFonts w:ascii="Calibri" w:hAnsi="Calibri"/>
                <w:color w:val="2B2D42"/>
                <w:sz w:val="18"/>
              </w:rPr>
              <w:t>Integer</w:t>
            </w:r>
          </w:p>
        </w:tc>
        <w:tc>
          <w:tcPr>
            <w:tcW w:type="dxa" w:w="1152"/>
            <w:shd w:fill="FFFFFF"/>
            <w:tcMar>
              <w:top w:w="80" w:type="dxa"/>
              <w:bottom w:w="80" w:type="dxa"/>
              <w:left w:w="120" w:type="dxa"/>
              <w:right w:w="120" w:type="dxa"/>
            </w:tcMar>
          </w:tcPr>
          <w:p>
            <w:pPr>
              <w:jc w:val="right"/>
            </w:pPr>
            <w:r>
              <w:rPr>
                <w:rFonts w:ascii="Calibri" w:hAnsi="Calibri"/>
                <w:color w:val="2B2D42"/>
                <w:sz w:val="18"/>
              </w:rPr>
              <w:t>0 (0.0%)</w:t>
            </w:r>
          </w:p>
        </w:tc>
        <w:tc>
          <w:tcPr>
            <w:tcW w:type="dxa" w:w="1008"/>
            <w:shd w:fill="FFFFFF"/>
            <w:tcMar>
              <w:top w:w="80" w:type="dxa"/>
              <w:bottom w:w="80" w:type="dxa"/>
              <w:left w:w="120" w:type="dxa"/>
              <w:right w:w="120" w:type="dxa"/>
            </w:tcMar>
          </w:tcPr>
          <w:p>
            <w:pPr>
              <w:jc w:val="right"/>
            </w:pPr>
            <w:r>
              <w:rPr>
                <w:rFonts w:ascii="Calibri" w:hAnsi="Calibri"/>
                <w:color w:val="2B2D42"/>
                <w:sz w:val="18"/>
              </w:rPr>
              <w:t>14</w:t>
            </w:r>
          </w:p>
        </w:tc>
        <w:tc>
          <w:tcPr>
            <w:tcW w:type="dxa" w:w="2592"/>
            <w:shd w:fill="FFFFFF"/>
            <w:tcMar>
              <w:top w:w="80" w:type="dxa"/>
              <w:bottom w:w="80" w:type="dxa"/>
              <w:left w:w="120" w:type="dxa"/>
              <w:right w:w="120" w:type="dxa"/>
            </w:tcMar>
          </w:tcPr>
          <w:p>
            <w:pPr>
              <w:jc w:val="right"/>
            </w:pPr>
            <w:r>
              <w:rPr>
                <w:rFonts w:ascii="Calibri" w:hAnsi="Calibri"/>
                <w:color w:val="2B2D42"/>
                <w:sz w:val="18"/>
              </w:rPr>
              <w:t>None (Integer count 1 to 14)</w:t>
            </w:r>
          </w:p>
        </w:tc>
        <w:tc>
          <w:tcPr>
            <w:tcW w:type="dxa" w:w="1728"/>
            <w:shd w:fill="FFFFFF"/>
            <w:tcMar>
              <w:top w:w="80" w:type="dxa"/>
              <w:bottom w:w="80" w:type="dxa"/>
              <w:left w:w="120" w:type="dxa"/>
              <w:right w:w="120" w:type="dxa"/>
            </w:tcMar>
          </w:tcPr>
          <w:p>
            <w:pPr>
              <w:jc w:val="left"/>
            </w:pPr>
            <w:r>
              <w:rPr>
                <w:rFonts w:ascii="Calibri" w:hAnsi="Calibri"/>
                <w:color w:val="2B2D42"/>
                <w:sz w:val="18"/>
              </w:rPr>
              <w:t>Validated unit range; retained</w:t>
            </w:r>
          </w:p>
        </w:tc>
      </w:tr>
      <w:tr>
        <w:tc>
          <w:tcPr>
            <w:tcW w:type="dxa" w:w="1584"/>
            <w:shd w:fill="F8F9FA"/>
            <w:tcMar>
              <w:top w:w="80" w:type="dxa"/>
              <w:bottom w:w="80" w:type="dxa"/>
              <w:left w:w="120" w:type="dxa"/>
              <w:right w:w="120" w:type="dxa"/>
            </w:tcMar>
          </w:tcPr>
          <w:p>
            <w:pPr>
              <w:jc w:val="left"/>
            </w:pPr>
            <w:r>
              <w:rPr>
                <w:rFonts w:ascii="Calibri" w:hAnsi="Calibri"/>
                <w:color w:val="2B2D42"/>
                <w:sz w:val="18"/>
              </w:rPr>
              <w:t>Discount</w:t>
            </w:r>
          </w:p>
        </w:tc>
        <w:tc>
          <w:tcPr>
            <w:tcW w:type="dxa" w:w="1296"/>
            <w:shd w:fill="F8F9FA"/>
            <w:tcMar>
              <w:top w:w="80" w:type="dxa"/>
              <w:bottom w:w="80" w:type="dxa"/>
              <w:left w:w="120" w:type="dxa"/>
              <w:right w:w="120" w:type="dxa"/>
            </w:tcMar>
          </w:tcPr>
          <w:p>
            <w:pPr>
              <w:jc w:val="left"/>
            </w:pPr>
            <w:r>
              <w:rPr>
                <w:rFonts w:ascii="Calibri" w:hAnsi="Calibri"/>
                <w:color w:val="2B2D42"/>
                <w:sz w:val="18"/>
              </w:rPr>
              <w:t>Numeric</w:t>
            </w:r>
          </w:p>
        </w:tc>
        <w:tc>
          <w:tcPr>
            <w:tcW w:type="dxa" w:w="1152"/>
            <w:shd w:fill="F8F9FA"/>
            <w:tcMar>
              <w:top w:w="80" w:type="dxa"/>
              <w:bottom w:w="80" w:type="dxa"/>
              <w:left w:w="120" w:type="dxa"/>
              <w:right w:w="120" w:type="dxa"/>
            </w:tcMar>
          </w:tcPr>
          <w:p>
            <w:pPr>
              <w:jc w:val="right"/>
            </w:pPr>
            <w:r>
              <w:rPr>
                <w:rFonts w:ascii="Calibri" w:hAnsi="Calibri"/>
                <w:color w:val="2B2D42"/>
                <w:sz w:val="18"/>
              </w:rPr>
              <w:t>0 (0.0%)</w:t>
            </w:r>
          </w:p>
        </w:tc>
        <w:tc>
          <w:tcPr>
            <w:tcW w:type="dxa" w:w="1008"/>
            <w:shd w:fill="F8F9FA"/>
            <w:tcMar>
              <w:top w:w="80" w:type="dxa"/>
              <w:bottom w:w="80" w:type="dxa"/>
              <w:left w:w="120" w:type="dxa"/>
              <w:right w:w="120" w:type="dxa"/>
            </w:tcMar>
          </w:tcPr>
          <w:p>
            <w:pPr>
              <w:jc w:val="right"/>
            </w:pPr>
            <w:r>
              <w:rPr>
                <w:rFonts w:ascii="Calibri" w:hAnsi="Calibri"/>
                <w:color w:val="2B2D42"/>
                <w:sz w:val="18"/>
              </w:rPr>
              <w:t>12</w:t>
            </w:r>
          </w:p>
        </w:tc>
        <w:tc>
          <w:tcPr>
            <w:tcW w:type="dxa" w:w="2592"/>
            <w:shd w:fill="F8F9FA"/>
            <w:tcMar>
              <w:top w:w="80" w:type="dxa"/>
              <w:bottom w:w="80" w:type="dxa"/>
              <w:left w:w="120" w:type="dxa"/>
              <w:right w:w="120" w:type="dxa"/>
            </w:tcMar>
          </w:tcPr>
          <w:p>
            <w:pPr>
              <w:jc w:val="right"/>
            </w:pPr>
            <w:r>
              <w:rPr>
                <w:rFonts w:ascii="Calibri" w:hAnsi="Calibri"/>
                <w:color w:val="2B2D42"/>
                <w:sz w:val="18"/>
              </w:rPr>
              <w:t>Discrete discount tiers (0% to 80%)</w:t>
            </w:r>
          </w:p>
        </w:tc>
        <w:tc>
          <w:tcPr>
            <w:tcW w:type="dxa" w:w="1728"/>
            <w:shd w:fill="F8F9FA"/>
            <w:tcMar>
              <w:top w:w="80" w:type="dxa"/>
              <w:bottom w:w="80" w:type="dxa"/>
              <w:left w:w="120" w:type="dxa"/>
              <w:right w:w="120" w:type="dxa"/>
            </w:tcMar>
          </w:tcPr>
          <w:p>
            <w:pPr>
              <w:jc w:val="right"/>
            </w:pPr>
            <w:r>
              <w:rPr>
                <w:rFonts w:ascii="Calibri" w:hAnsi="Calibri"/>
                <w:color w:val="2B2D42"/>
                <w:sz w:val="18"/>
              </w:rPr>
              <w:t>Validated bounds [0.0, 0.8]; retained</w:t>
            </w:r>
          </w:p>
        </w:tc>
      </w:tr>
      <w:tr>
        <w:tc>
          <w:tcPr>
            <w:tcW w:type="dxa" w:w="1584"/>
            <w:shd w:fill="FFFFFF"/>
            <w:tcMar>
              <w:top w:w="80" w:type="dxa"/>
              <w:bottom w:w="80" w:type="dxa"/>
              <w:left w:w="120" w:type="dxa"/>
              <w:right w:w="120" w:type="dxa"/>
            </w:tcMar>
          </w:tcPr>
          <w:p>
            <w:pPr>
              <w:jc w:val="left"/>
            </w:pPr>
            <w:r>
              <w:rPr>
                <w:rFonts w:ascii="Calibri" w:hAnsi="Calibri"/>
                <w:color w:val="2B2D42"/>
                <w:sz w:val="18"/>
              </w:rPr>
              <w:t>Profit</w:t>
            </w:r>
          </w:p>
        </w:tc>
        <w:tc>
          <w:tcPr>
            <w:tcW w:type="dxa" w:w="1296"/>
            <w:shd w:fill="FFFFFF"/>
            <w:tcMar>
              <w:top w:w="80" w:type="dxa"/>
              <w:bottom w:w="80" w:type="dxa"/>
              <w:left w:w="120" w:type="dxa"/>
              <w:right w:w="120" w:type="dxa"/>
            </w:tcMar>
          </w:tcPr>
          <w:p>
            <w:pPr>
              <w:jc w:val="left"/>
            </w:pPr>
            <w:r>
              <w:rPr>
                <w:rFonts w:ascii="Calibri" w:hAnsi="Calibri"/>
                <w:color w:val="2B2D42"/>
                <w:sz w:val="18"/>
              </w:rPr>
              <w:t>Numeric</w:t>
            </w:r>
          </w:p>
        </w:tc>
        <w:tc>
          <w:tcPr>
            <w:tcW w:type="dxa" w:w="1152"/>
            <w:shd w:fill="FFFFFF"/>
            <w:tcMar>
              <w:top w:w="80" w:type="dxa"/>
              <w:bottom w:w="80" w:type="dxa"/>
              <w:left w:w="120" w:type="dxa"/>
              <w:right w:w="120" w:type="dxa"/>
            </w:tcMar>
          </w:tcPr>
          <w:p>
            <w:pPr>
              <w:jc w:val="right"/>
            </w:pPr>
            <w:r>
              <w:rPr>
                <w:rFonts w:ascii="Calibri" w:hAnsi="Calibri"/>
                <w:color w:val="2B2D42"/>
                <w:sz w:val="18"/>
              </w:rPr>
              <w:t>0 (0.0%)</w:t>
            </w:r>
          </w:p>
        </w:tc>
        <w:tc>
          <w:tcPr>
            <w:tcW w:type="dxa" w:w="1008"/>
            <w:shd w:fill="FFFFFF"/>
            <w:tcMar>
              <w:top w:w="80" w:type="dxa"/>
              <w:bottom w:w="80" w:type="dxa"/>
              <w:left w:w="120" w:type="dxa"/>
              <w:right w:w="120" w:type="dxa"/>
            </w:tcMar>
          </w:tcPr>
          <w:p>
            <w:pPr>
              <w:jc w:val="right"/>
            </w:pPr>
            <w:r>
              <w:rPr>
                <w:rFonts w:ascii="Calibri" w:hAnsi="Calibri"/>
                <w:color w:val="2B2D42"/>
                <w:sz w:val="18"/>
              </w:rPr>
              <w:t>7,287</w:t>
            </w:r>
          </w:p>
        </w:tc>
        <w:tc>
          <w:tcPr>
            <w:tcW w:type="dxa" w:w="2592"/>
            <w:shd w:fill="FFFFFF"/>
            <w:tcMar>
              <w:top w:w="80" w:type="dxa"/>
              <w:bottom w:w="80" w:type="dxa"/>
              <w:left w:w="120" w:type="dxa"/>
              <w:right w:w="120" w:type="dxa"/>
            </w:tcMar>
          </w:tcPr>
          <w:p>
            <w:pPr>
              <w:jc w:val="right"/>
            </w:pPr>
            <w:r>
              <w:rPr>
                <w:rFonts w:ascii="Calibri" w:hAnsi="Calibri"/>
                <w:color w:val="2B2D42"/>
                <w:sz w:val="18"/>
              </w:rPr>
              <w:t>Negative tail down to -$6,600</w:t>
            </w:r>
          </w:p>
        </w:tc>
        <w:tc>
          <w:tcPr>
            <w:tcW w:type="dxa" w:w="1728"/>
            <w:shd w:fill="FFFFFF"/>
            <w:tcMar>
              <w:top w:w="80" w:type="dxa"/>
              <w:bottom w:w="80" w:type="dxa"/>
              <w:left w:w="120" w:type="dxa"/>
              <w:right w:w="120" w:type="dxa"/>
            </w:tcMar>
          </w:tcPr>
          <w:p>
            <w:pPr>
              <w:jc w:val="left"/>
            </w:pPr>
            <w:r>
              <w:rPr>
                <w:rFonts w:ascii="Calibri" w:hAnsi="Calibri"/>
                <w:color w:val="2B2D42"/>
                <w:sz w:val="18"/>
              </w:rPr>
              <w:t>Verified as genuine commercial loss; retained</w:t>
            </w:r>
          </w:p>
        </w:tc>
      </w:tr>
    </w:tbl>
    <w:p>
      <w:pPr>
        <w:spacing w:after="80"/>
      </w:pPr>
    </w:p>
    <w:p>
      <w:r>
        <w:br w:type="page"/>
      </w:r>
    </w:p>
    <w:p>
      <w:pPr>
        <w:keepNext/>
        <w:spacing w:before="320" w:after="120"/>
      </w:pPr>
      <w:r>
        <w:rPr>
          <w:rFonts w:ascii="Calibri" w:hAnsi="Calibri"/>
          <w:b/>
          <w:color w:val="1D3557"/>
          <w:sz w:val="34"/>
        </w:rPr>
        <w:t>5. DATA PREPARATION &amp; FEATURE ENGINEERING</w:t>
      </w:r>
    </w:p>
    <w:p>
      <w:pPr>
        <w:keepNext/>
        <w:spacing w:before="240" w:after="80"/>
      </w:pPr>
      <w:r>
        <w:rPr>
          <w:rFonts w:ascii="Calibri" w:hAnsi="Calibri"/>
          <w:b/>
          <w:color w:val="457B9D"/>
          <w:sz w:val="27"/>
        </w:rPr>
        <w:t>5.1 Raw vs Analytical Dataset Separation</w:t>
      </w:r>
    </w:p>
    <w:p>
      <w:pPr>
        <w:spacing w:after="80" w:line="276" w:lineRule="auto"/>
      </w:pPr>
      <w:r>
        <w:rPr>
          <w:rFonts w:ascii="Calibri" w:hAnsi="Calibri"/>
          <w:color w:val="2B2D42"/>
          <w:sz w:val="22"/>
        </w:rPr>
        <w:t>To preserve data provenance and academic reproducibility, the raw Superstore dataset was ingested into an immutable raw object (superstore_raw) stored in data/raw/Superstore.csv. All data cleaning, column standardization, and feature transformations were applied within a non-destructive pipeline, producing an analytical dataset (superstore_clean) serialized to data/processed/superstore_clean.csv and data/processed/superstore_clean.rds.</w:t>
      </w:r>
    </w:p>
    <w:p>
      <w:pPr>
        <w:keepNext/>
        <w:spacing w:before="240" w:after="80"/>
      </w:pPr>
      <w:r>
        <w:rPr>
          <w:rFonts w:ascii="Calibri" w:hAnsi="Calibri"/>
          <w:b/>
          <w:color w:val="457B9D"/>
          <w:sz w:val="27"/>
        </w:rPr>
        <w:t>5.2 Engineered Variables</w:t>
      </w:r>
    </w:p>
    <w:p>
      <w:pPr>
        <w:spacing w:after="80" w:line="276" w:lineRule="auto"/>
      </w:pPr>
      <w:r>
        <w:rPr>
          <w:rFonts w:ascii="Calibri" w:hAnsi="Calibri"/>
          <w:color w:val="2B2D42"/>
          <w:sz w:val="22"/>
        </w:rPr>
        <w:t>Six derived analytical variables were engineered to facilitate granular temporal, logistics, and financial evaluations:</w:t>
      </w:r>
    </w:p>
    <w:p>
      <w:pPr>
        <w:pStyle w:val="ListBullet"/>
        <w:spacing w:after="60" w:line="276" w:lineRule="auto"/>
      </w:pPr>
      <w:r>
        <w:rPr>
          <w:rFonts w:ascii="Calibri" w:hAnsi="Calibri"/>
          <w:b/>
          <w:color w:val="1D3557"/>
          <w:sz w:val="22"/>
        </w:rPr>
        <w:t xml:space="preserve">Temporal Parsing: </w:t>
      </w:r>
      <w:r>
        <w:rPr>
          <w:rFonts w:ascii="Calibri" w:hAnsi="Calibri"/>
          <w:color w:val="2B2D42"/>
          <w:sz w:val="22"/>
        </w:rPr>
        <w:t>Order_Date_Clean &amp; Ship_Date_Clean: Native R Date objects generated by parsing raw strings with lubridate::dmy().</w:t>
      </w:r>
    </w:p>
    <w:p>
      <w:pPr>
        <w:pStyle w:val="ListBullet"/>
        <w:spacing w:after="60" w:line="276" w:lineRule="auto"/>
      </w:pPr>
      <w:r>
        <w:rPr>
          <w:rFonts w:ascii="Calibri" w:hAnsi="Calibri"/>
          <w:b/>
          <w:color w:val="1D3557"/>
          <w:sz w:val="22"/>
        </w:rPr>
        <w:t xml:space="preserve">Calendar Extraction: </w:t>
      </w:r>
      <w:r>
        <w:rPr>
          <w:rFonts w:ascii="Calibri" w:hAnsi="Calibri"/>
          <w:color w:val="2B2D42"/>
          <w:sz w:val="22"/>
        </w:rPr>
        <w:t>Order_Year &amp; Order_Month: Extracted calendar year (2011 to 2014) and month integer (1 to 12) for time-series modeling.</w:t>
      </w:r>
    </w:p>
    <w:p>
      <w:pPr>
        <w:pStyle w:val="ListBullet"/>
        <w:spacing w:after="60" w:line="276" w:lineRule="auto"/>
      </w:pPr>
      <w:r>
        <w:rPr>
          <w:rFonts w:ascii="Calibri" w:hAnsi="Calibri"/>
          <w:b/>
          <w:color w:val="1D3557"/>
          <w:sz w:val="22"/>
        </w:rPr>
        <w:t xml:space="preserve">Chronological Month: </w:t>
      </w:r>
      <w:r>
        <w:rPr>
          <w:rFonts w:ascii="Calibri" w:hAnsi="Calibri"/>
          <w:color w:val="2B2D42"/>
          <w:sz w:val="22"/>
        </w:rPr>
        <w:t>Order_Month_Name: Chronologically ordered factor (Jan, Feb, ..., Dec) preventing erroneous alphabetical sorting in graphs.</w:t>
      </w:r>
    </w:p>
    <w:p>
      <w:pPr>
        <w:pStyle w:val="ListBullet"/>
        <w:spacing w:after="60" w:line="276" w:lineRule="auto"/>
      </w:pPr>
      <w:r>
        <w:rPr>
          <w:rFonts w:ascii="Calibri" w:hAnsi="Calibri"/>
          <w:b/>
          <w:color w:val="1D3557"/>
          <w:sz w:val="22"/>
        </w:rPr>
        <w:t xml:space="preserve">Monthly Series: </w:t>
      </w:r>
      <w:r>
        <w:rPr>
          <w:rFonts w:ascii="Calibri" w:hAnsi="Calibri"/>
          <w:color w:val="2B2D42"/>
          <w:sz w:val="22"/>
        </w:rPr>
        <w:t>Order_Year_Month &amp; Order_YM_Date: Standardized YYYY-MM strings and first-of-month Date anchors for monthly time-series aggregation.</w:t>
      </w:r>
    </w:p>
    <w:p>
      <w:pPr>
        <w:pStyle w:val="ListBullet"/>
        <w:spacing w:after="60" w:line="276" w:lineRule="auto"/>
      </w:pPr>
      <w:r>
        <w:rPr>
          <w:rFonts w:ascii="Calibri" w:hAnsi="Calibri"/>
          <w:b/>
          <w:color w:val="1D3557"/>
          <w:sz w:val="22"/>
        </w:rPr>
        <w:t xml:space="preserve">Fulfillment Duration: </w:t>
      </w:r>
      <w:r>
        <w:rPr>
          <w:rFonts w:ascii="Calibri" w:hAnsi="Calibri"/>
          <w:color w:val="2B2D42"/>
          <w:sz w:val="22"/>
        </w:rPr>
        <w:t>Days_to_Ship: Difference in calendar days between shipment departure and order placement (difftime in days).</w:t>
      </w:r>
    </w:p>
    <w:p>
      <w:pPr>
        <w:pStyle w:val="ListBullet"/>
        <w:spacing w:after="60" w:line="276" w:lineRule="auto"/>
      </w:pPr>
      <w:r>
        <w:rPr>
          <w:rFonts w:ascii="Calibri" w:hAnsi="Calibri"/>
          <w:b/>
          <w:color w:val="1D3557"/>
          <w:sz w:val="22"/>
        </w:rPr>
        <w:t xml:space="preserve">Transactional Margin: </w:t>
      </w:r>
      <w:r>
        <w:rPr>
          <w:rFonts w:ascii="Calibri" w:hAnsi="Calibri"/>
          <w:color w:val="2B2D42"/>
          <w:sz w:val="22"/>
        </w:rPr>
        <w:t>Profit_Margin: Line-item transactional margin calculated as (Profit / Sales) * 100 for non-zero sales transactions.</w:t>
      </w:r>
    </w:p>
    <w:p>
      <w:pPr>
        <w:keepNext/>
        <w:spacing w:before="240" w:after="80"/>
      </w:pPr>
      <w:r>
        <w:rPr>
          <w:rFonts w:ascii="Calibri" w:hAnsi="Calibri"/>
          <w:b/>
          <w:color w:val="457B9D"/>
          <w:sz w:val="27"/>
        </w:rPr>
        <w:t>5.3 R Data Preparation Code Pipeline</w:t>
      </w:r>
    </w:p>
    <w:p>
      <w:pPr>
        <w:spacing w:after="80" w:line="276" w:lineRule="auto"/>
      </w:pPr>
      <w:r>
        <w:rPr>
          <w:rFonts w:ascii="Calibri" w:hAnsi="Calibri"/>
          <w:color w:val="2B2D42"/>
          <w:sz w:val="22"/>
        </w:rPr>
        <w:t>The complete data preparation pipeline executed in R/04_data_cleaning.R is presented below:</w:t>
      </w:r>
    </w:p>
    <w:tbl>
      <w:tblPr>
        <w:tblW w:type="auto" w:w="0"/>
        <w:jc w:val="center"/>
        <w:tblLook w:firstColumn="1" w:firstRow="1" w:lastColumn="0" w:lastRow="0" w:noHBand="0" w:noVBand="1" w:val="04A0"/>
      </w:tblPr>
      <w:tblGrid>
        <w:gridCol w:w="9360"/>
      </w:tblGrid>
      <w:tr>
        <w:tc>
          <w:tcPr>
            <w:tcW w:type="dxa" w:w="9360"/>
            <w:shd w:fill="F4F4F6"/>
            <w:tcMar>
              <w:top w:w="100" w:type="dxa"/>
              <w:bottom w:w="100" w:type="dxa"/>
              <w:left w:w="150" w:type="dxa"/>
              <w:right w:w="150" w:type="dxa"/>
            </w:tcMar>
            <w:tcBorders>
              <w:top w:val="single" w:sz="4" w:color="D3D3D3"/>
              <w:left w:val="single" w:sz="18" w:color="457B9D"/>
              <w:bottom w:val="single" w:sz="4" w:color="D3D3D3"/>
              <w:right w:val="single" w:sz="4" w:color="D3D3D3"/>
            </w:tcBorders>
          </w:tcPr>
          <w:p>
            <w:pPr>
              <w:spacing w:after="0" w:line="252" w:lineRule="auto"/>
            </w:pPr>
            <w:r>
              <w:rPr>
                <w:rFonts w:ascii="Consolas" w:hAnsi="Consolas"/>
                <w:color w:val="1E293B"/>
                <w:sz w:val="18"/>
              </w:rPr>
              <w:t># R Transformation Pipeline (Executed in R/04_data_cleaning.R)</w:t>
              <w:br/>
              <w:t>library(dplyr)</w:t>
              <w:br/>
              <w:t>library(lubridate)</w:t>
              <w:br/>
              <w:br/>
              <w:t>superstore_clean &lt;- superstore_raw %&gt;%</w:t>
              <w:br/>
              <w:t xml:space="preserve">  # 1. Standardize variable naming conventions</w:t>
              <w:br/>
              <w:t xml:space="preserve">  rename(</w:t>
              <w:br/>
              <w:t xml:space="preserve">    Row_ID = `Row ID`, Order_ID = `Order ID`, Order_Date = `Order Date`,</w:t>
              <w:br/>
              <w:t xml:space="preserve">    Ship_Date = `Ship Date`, Ship_Mode = `Ship Mode`, Customer_ID = `Customer ID`,</w:t>
              <w:br/>
              <w:t xml:space="preserve">    Customer_Name = `Customer Name`, Postal_Code = `Postal Code`,</w:t>
              <w:br/>
              <w:t xml:space="preserve">    Product_ID = `Product ID`, Sub_Category = `Sub-Category`, Product_Name = `Product Name`</w:t>
              <w:br/>
              <w:t xml:space="preserve">  ) %&gt;%</w:t>
              <w:br/>
              <w:t xml:space="preserve">  # 2. Strict Date Parsing (DD-MM-YYYY)</w:t>
              <w:br/>
              <w:t xml:space="preserve">  mutate(</w:t>
              <w:br/>
              <w:t xml:space="preserve">    Order_Date_Clean = lubridate::dmy(Order_Date),</w:t>
              <w:br/>
              <w:t xml:space="preserve">    Ship_Date_Clean  = lubridate::dmy(Ship_Date)</w:t>
              <w:br/>
              <w:t xml:space="preserve">  ) %&gt;%</w:t>
              <w:br/>
              <w:t xml:space="preserve">  # 3. Derived Analytical Attributes</w:t>
              <w:br/>
              <w:t xml:space="preserve">  mutate(</w:t>
              <w:br/>
              <w:t xml:space="preserve">    Order_Year       = lubridate::year(Order_Date_Clean),</w:t>
              <w:br/>
              <w:t xml:space="preserve">    Order_Month      = lubridate::month(Order_Date_Clean),</w:t>
              <w:br/>
              <w:t xml:space="preserve">    Order_Month_Name = factor(month.abb[Order_Month], levels = month.abb, ordered = TRUE),</w:t>
              <w:br/>
              <w:t xml:space="preserve">    Order_Year_Month = format(Order_Date_Clean, "%Y-%m"),</w:t>
              <w:br/>
              <w:t xml:space="preserve">    Order_YM_Date    = as.Date(paste0(Order_Year_Month, "-01")),</w:t>
              <w:br/>
              <w:t xml:space="preserve">    Days_to_Ship     = as.numeric(difftime(Ship_Date_Clean, Order_Date_Clean, units = "days")),</w:t>
              <w:br/>
              <w:t xml:space="preserve">    Profit_Margin    = ifelse(Sales &gt; 0, (Profit / Sales) * 100, NA_real_),</w:t>
              <w:br/>
              <w:t xml:space="preserve">    Category         = factor(Category),</w:t>
              <w:br/>
              <w:t xml:space="preserve">    Sub_Category     = factor(Sub_Category),</w:t>
              <w:br/>
              <w:t xml:space="preserve">    Region           = factor(Region),</w:t>
              <w:br/>
              <w:t xml:space="preserve">    Segment          = factor(Segment),</w:t>
              <w:br/>
              <w:t xml:space="preserve">    Ship_Mode        = factor(Ship_Mode, levels = c("Same Day", "First Class", "Second Class", "Standard Class"))</w:t>
              <w:br/>
              <w:t xml:space="preserve">  )</w:t>
            </w:r>
          </w:p>
        </w:tc>
      </w:tr>
    </w:tbl>
    <w:p>
      <w:pPr>
        <w:spacing w:after="40"/>
      </w:pPr>
    </w:p>
    <w:p>
      <w:r>
        <w:br w:type="page"/>
      </w:r>
    </w:p>
    <w:p>
      <w:pPr>
        <w:keepNext/>
        <w:spacing w:before="320" w:after="120"/>
      </w:pPr>
      <w:r>
        <w:rPr>
          <w:rFonts w:ascii="Calibri" w:hAnsi="Calibri"/>
          <w:b/>
          <w:color w:val="1D3557"/>
          <w:sz w:val="34"/>
        </w:rPr>
        <w:t>6. ANALYTICAL METHODS &amp; STATISTICAL FRAMEWORK</w:t>
      </w:r>
    </w:p>
    <w:p>
      <w:pPr>
        <w:spacing w:after="80" w:line="276" w:lineRule="auto"/>
      </w:pPr>
      <w:r>
        <w:rPr>
          <w:rFonts w:ascii="Calibri" w:hAnsi="Calibri"/>
          <w:color w:val="2B2D42"/>
          <w:sz w:val="22"/>
        </w:rPr>
        <w:t>To ensure methodological depth, the investigation deploys eight established statistical and data science techniques, moving deliberately from univariate distributions to bivariate relationships, multivariate aggregations, and non-parametric anomaly audits.</w:t>
      </w:r>
    </w:p>
    <w:p>
      <w:pPr>
        <w:keepNext/>
        <w:spacing w:before="240" w:after="80"/>
      </w:pPr>
      <w:r>
        <w:rPr>
          <w:rFonts w:ascii="Calibri" w:hAnsi="Calibri"/>
          <w:b/>
          <w:color w:val="457B9D"/>
          <w:sz w:val="27"/>
        </w:rPr>
        <w:t>6.1 Method 1: Univariate Descriptive Statistics &amp; Skewness Dynamics</w:t>
      </w:r>
    </w:p>
    <w:p>
      <w:pPr>
        <w:spacing w:after="80" w:line="276" w:lineRule="auto"/>
      </w:pPr>
      <w:r>
        <w:rPr>
          <w:rFonts w:ascii="Calibri" w:hAnsi="Calibri"/>
          <w:color w:val="2B2D42"/>
          <w:sz w:val="22"/>
        </w:rPr>
        <w:t>Commercial retail data is notorious for extreme right-skewness. In skewed distributions, the arithmetic mean is pulled heavily toward extreme high-value transactions, whereas the median represents the true 50th percentile (the typical transaction). Table 2 reports the comprehensive parametric and non-parametric summary statistics for all core numerical attributes.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936"/>
        <w:gridCol w:w="936"/>
        <w:gridCol w:w="936"/>
        <w:gridCol w:w="936"/>
        <w:gridCol w:w="936"/>
        <w:gridCol w:w="936"/>
        <w:gridCol w:w="936"/>
        <w:gridCol w:w="936"/>
        <w:gridCol w:w="936"/>
        <w:gridCol w:w="936"/>
      </w:tblGrid>
      <w:tr>
        <w:tc>
          <w:tcPr>
            <w:tcW w:type="dxa" w:w="1728"/>
            <w:shd w:fill="1D3557"/>
            <w:tcMar>
              <w:top w:w="100" w:type="dxa"/>
              <w:bottom w:w="100" w:type="dxa"/>
              <w:left w:w="120" w:type="dxa"/>
              <w:right w:w="120" w:type="dxa"/>
            </w:tcMar>
          </w:tcPr>
          <w:p>
            <w:pPr>
              <w:jc w:val="left"/>
            </w:pPr>
            <w:r>
              <w:rPr>
                <w:rFonts w:ascii="Calibri" w:hAnsi="Calibri"/>
                <w:b/>
                <w:color w:val="FFFFFF"/>
                <w:sz w:val="19"/>
              </w:rPr>
              <w:t>Variable</w:t>
            </w:r>
          </w:p>
        </w:tc>
        <w:tc>
          <w:tcPr>
            <w:tcW w:type="dxa" w:w="720"/>
            <w:shd w:fill="1D3557"/>
            <w:tcMar>
              <w:top w:w="100" w:type="dxa"/>
              <w:bottom w:w="100" w:type="dxa"/>
              <w:left w:w="120" w:type="dxa"/>
              <w:right w:w="120" w:type="dxa"/>
            </w:tcMar>
          </w:tcPr>
          <w:p>
            <w:pPr>
              <w:jc w:val="right"/>
            </w:pPr>
            <w:r>
              <w:rPr>
                <w:rFonts w:ascii="Calibri" w:hAnsi="Calibri"/>
                <w:b/>
                <w:color w:val="FFFFFF"/>
                <w:sz w:val="19"/>
              </w:rPr>
              <w:t>N</w:t>
            </w:r>
          </w:p>
        </w:tc>
        <w:tc>
          <w:tcPr>
            <w:tcW w:type="dxa" w:w="864"/>
            <w:shd w:fill="1D3557"/>
            <w:tcMar>
              <w:top w:w="100" w:type="dxa"/>
              <w:bottom w:w="100" w:type="dxa"/>
              <w:left w:w="120" w:type="dxa"/>
              <w:right w:w="120" w:type="dxa"/>
            </w:tcMar>
          </w:tcPr>
          <w:p>
            <w:pPr>
              <w:jc w:val="right"/>
            </w:pPr>
            <w:r>
              <w:rPr>
                <w:rFonts w:ascii="Calibri" w:hAnsi="Calibri"/>
                <w:b/>
                <w:color w:val="FFFFFF"/>
                <w:sz w:val="19"/>
              </w:rPr>
              <w:t>Mean</w:t>
            </w:r>
          </w:p>
        </w:tc>
        <w:tc>
          <w:tcPr>
            <w:tcW w:type="dxa" w:w="864"/>
            <w:shd w:fill="1D3557"/>
            <w:tcMar>
              <w:top w:w="100" w:type="dxa"/>
              <w:bottom w:w="100" w:type="dxa"/>
              <w:left w:w="120" w:type="dxa"/>
              <w:right w:w="120" w:type="dxa"/>
            </w:tcMar>
          </w:tcPr>
          <w:p>
            <w:pPr>
              <w:jc w:val="right"/>
            </w:pPr>
            <w:r>
              <w:rPr>
                <w:rFonts w:ascii="Calibri" w:hAnsi="Calibri"/>
                <w:b/>
                <w:color w:val="FFFFFF"/>
                <w:sz w:val="19"/>
              </w:rPr>
              <w:t>Median</w:t>
            </w:r>
          </w:p>
        </w:tc>
        <w:tc>
          <w:tcPr>
            <w:tcW w:type="dxa" w:w="864"/>
            <w:shd w:fill="1D3557"/>
            <w:tcMar>
              <w:top w:w="100" w:type="dxa"/>
              <w:bottom w:w="100" w:type="dxa"/>
              <w:left w:w="120" w:type="dxa"/>
              <w:right w:w="120" w:type="dxa"/>
            </w:tcMar>
          </w:tcPr>
          <w:p>
            <w:pPr>
              <w:jc w:val="right"/>
            </w:pPr>
            <w:r>
              <w:rPr>
                <w:rFonts w:ascii="Calibri" w:hAnsi="Calibri"/>
                <w:b/>
                <w:color w:val="FFFFFF"/>
                <w:sz w:val="19"/>
              </w:rPr>
              <w:t>Std Dev</w:t>
            </w:r>
          </w:p>
        </w:tc>
        <w:tc>
          <w:tcPr>
            <w:tcW w:type="dxa" w:w="1008"/>
            <w:shd w:fill="1D3557"/>
            <w:tcMar>
              <w:top w:w="100" w:type="dxa"/>
              <w:bottom w:w="100" w:type="dxa"/>
              <w:left w:w="120" w:type="dxa"/>
              <w:right w:w="120" w:type="dxa"/>
            </w:tcMar>
          </w:tcPr>
          <w:p>
            <w:pPr>
              <w:jc w:val="right"/>
            </w:pPr>
            <w:r>
              <w:rPr>
                <w:rFonts w:ascii="Calibri" w:hAnsi="Calibri"/>
                <w:b/>
                <w:color w:val="FFFFFF"/>
                <w:sz w:val="19"/>
              </w:rPr>
              <w:t>Min</w:t>
            </w:r>
          </w:p>
        </w:tc>
        <w:tc>
          <w:tcPr>
            <w:tcW w:type="dxa" w:w="864"/>
            <w:shd w:fill="1D3557"/>
            <w:tcMar>
              <w:top w:w="100" w:type="dxa"/>
              <w:bottom w:w="100" w:type="dxa"/>
              <w:left w:w="120" w:type="dxa"/>
              <w:right w:w="120" w:type="dxa"/>
            </w:tcMar>
          </w:tcPr>
          <w:p>
            <w:pPr>
              <w:jc w:val="right"/>
            </w:pPr>
            <w:r>
              <w:rPr>
                <w:rFonts w:ascii="Calibri" w:hAnsi="Calibri"/>
                <w:b/>
                <w:color w:val="FFFFFF"/>
                <w:sz w:val="19"/>
              </w:rPr>
              <w:t>Q1 (25%)</w:t>
            </w:r>
          </w:p>
        </w:tc>
        <w:tc>
          <w:tcPr>
            <w:tcW w:type="dxa" w:w="864"/>
            <w:shd w:fill="1D3557"/>
            <w:tcMar>
              <w:top w:w="100" w:type="dxa"/>
              <w:bottom w:w="100" w:type="dxa"/>
              <w:left w:w="120" w:type="dxa"/>
              <w:right w:w="120" w:type="dxa"/>
            </w:tcMar>
          </w:tcPr>
          <w:p>
            <w:pPr>
              <w:jc w:val="right"/>
            </w:pPr>
            <w:r>
              <w:rPr>
                <w:rFonts w:ascii="Calibri" w:hAnsi="Calibri"/>
                <w:b/>
                <w:color w:val="FFFFFF"/>
                <w:sz w:val="19"/>
              </w:rPr>
              <w:t>Q3 (75%)</w:t>
            </w:r>
          </w:p>
        </w:tc>
        <w:tc>
          <w:tcPr>
            <w:tcW w:type="dxa" w:w="1008"/>
            <w:shd w:fill="1D3557"/>
            <w:tcMar>
              <w:top w:w="100" w:type="dxa"/>
              <w:bottom w:w="100" w:type="dxa"/>
              <w:left w:w="120" w:type="dxa"/>
              <w:right w:w="120" w:type="dxa"/>
            </w:tcMar>
          </w:tcPr>
          <w:p>
            <w:pPr>
              <w:jc w:val="right"/>
            </w:pPr>
            <w:r>
              <w:rPr>
                <w:rFonts w:ascii="Calibri" w:hAnsi="Calibri"/>
                <w:b/>
                <w:color w:val="FFFFFF"/>
                <w:sz w:val="19"/>
              </w:rPr>
              <w:t>Max</w:t>
            </w:r>
          </w:p>
        </w:tc>
        <w:tc>
          <w:tcPr>
            <w:tcW w:type="dxa" w:w="864"/>
            <w:shd w:fill="1D3557"/>
            <w:tcMar>
              <w:top w:w="100" w:type="dxa"/>
              <w:bottom w:w="100" w:type="dxa"/>
              <w:left w:w="120" w:type="dxa"/>
              <w:right w:w="120" w:type="dxa"/>
            </w:tcMar>
          </w:tcPr>
          <w:p>
            <w:pPr>
              <w:jc w:val="right"/>
            </w:pPr>
            <w:r>
              <w:rPr>
                <w:rFonts w:ascii="Calibri" w:hAnsi="Calibri"/>
                <w:b/>
                <w:color w:val="FFFFFF"/>
                <w:sz w:val="19"/>
              </w:rPr>
              <w:t>IQR</w:t>
            </w:r>
          </w:p>
        </w:tc>
      </w:tr>
      <w:tr>
        <w:tc>
          <w:tcPr>
            <w:tcW w:type="dxa" w:w="1728"/>
            <w:shd w:fill="FFFFFF"/>
            <w:tcMar>
              <w:top w:w="80" w:type="dxa"/>
              <w:bottom w:w="80" w:type="dxa"/>
              <w:left w:w="120" w:type="dxa"/>
              <w:right w:w="120" w:type="dxa"/>
            </w:tcMar>
          </w:tcPr>
          <w:p>
            <w:pPr>
              <w:jc w:val="left"/>
            </w:pPr>
            <w:r>
              <w:rPr>
                <w:rFonts w:ascii="Calibri" w:hAnsi="Calibri"/>
                <w:color w:val="2B2D42"/>
                <w:sz w:val="18"/>
              </w:rPr>
              <w:t>Sales ($)</w:t>
            </w:r>
          </w:p>
        </w:tc>
        <w:tc>
          <w:tcPr>
            <w:tcW w:type="dxa" w:w="720"/>
            <w:shd w:fill="FFFFFF"/>
            <w:tcMar>
              <w:top w:w="80" w:type="dxa"/>
              <w:bottom w:w="80" w:type="dxa"/>
              <w:left w:w="120" w:type="dxa"/>
              <w:right w:w="120" w:type="dxa"/>
            </w:tcMar>
          </w:tcPr>
          <w:p>
            <w:pPr>
              <w:jc w:val="right"/>
            </w:pPr>
            <w:r>
              <w:rPr>
                <w:rFonts w:ascii="Calibri" w:hAnsi="Calibri"/>
                <w:color w:val="2B2D42"/>
                <w:sz w:val="18"/>
              </w:rPr>
              <w:t>9,994</w:t>
            </w:r>
          </w:p>
        </w:tc>
        <w:tc>
          <w:tcPr>
            <w:tcW w:type="dxa" w:w="864"/>
            <w:shd w:fill="FFFFFF"/>
            <w:tcMar>
              <w:top w:w="80" w:type="dxa"/>
              <w:bottom w:w="80" w:type="dxa"/>
              <w:left w:w="120" w:type="dxa"/>
              <w:right w:w="120" w:type="dxa"/>
            </w:tcMar>
          </w:tcPr>
          <w:p>
            <w:pPr>
              <w:jc w:val="right"/>
            </w:pPr>
            <w:r>
              <w:rPr>
                <w:rFonts w:ascii="Calibri" w:hAnsi="Calibri"/>
                <w:color w:val="2B2D42"/>
                <w:sz w:val="18"/>
              </w:rPr>
              <w:t>229.86</w:t>
            </w:r>
          </w:p>
        </w:tc>
        <w:tc>
          <w:tcPr>
            <w:tcW w:type="dxa" w:w="864"/>
            <w:shd w:fill="FFFFFF"/>
            <w:tcMar>
              <w:top w:w="80" w:type="dxa"/>
              <w:bottom w:w="80" w:type="dxa"/>
              <w:left w:w="120" w:type="dxa"/>
              <w:right w:w="120" w:type="dxa"/>
            </w:tcMar>
          </w:tcPr>
          <w:p>
            <w:pPr>
              <w:jc w:val="right"/>
            </w:pPr>
            <w:r>
              <w:rPr>
                <w:rFonts w:ascii="Calibri" w:hAnsi="Calibri"/>
                <w:color w:val="2B2D42"/>
                <w:sz w:val="18"/>
              </w:rPr>
              <w:t>54.49</w:t>
            </w:r>
          </w:p>
        </w:tc>
        <w:tc>
          <w:tcPr>
            <w:tcW w:type="dxa" w:w="864"/>
            <w:shd w:fill="FFFFFF"/>
            <w:tcMar>
              <w:top w:w="80" w:type="dxa"/>
              <w:bottom w:w="80" w:type="dxa"/>
              <w:left w:w="120" w:type="dxa"/>
              <w:right w:w="120" w:type="dxa"/>
            </w:tcMar>
          </w:tcPr>
          <w:p>
            <w:pPr>
              <w:jc w:val="right"/>
            </w:pPr>
            <w:r>
              <w:rPr>
                <w:rFonts w:ascii="Calibri" w:hAnsi="Calibri"/>
                <w:color w:val="2B2D42"/>
                <w:sz w:val="18"/>
              </w:rPr>
              <w:t>623.25</w:t>
            </w:r>
          </w:p>
        </w:tc>
        <w:tc>
          <w:tcPr>
            <w:tcW w:type="dxa" w:w="1008"/>
            <w:shd w:fill="FFFFFF"/>
            <w:tcMar>
              <w:top w:w="80" w:type="dxa"/>
              <w:bottom w:w="80" w:type="dxa"/>
              <w:left w:w="120" w:type="dxa"/>
              <w:right w:w="120" w:type="dxa"/>
            </w:tcMar>
          </w:tcPr>
          <w:p>
            <w:pPr>
              <w:jc w:val="right"/>
            </w:pPr>
            <w:r>
              <w:rPr>
                <w:rFonts w:ascii="Calibri" w:hAnsi="Calibri"/>
                <w:color w:val="2B2D42"/>
                <w:sz w:val="18"/>
              </w:rPr>
              <w:t>0.44</w:t>
            </w:r>
          </w:p>
        </w:tc>
        <w:tc>
          <w:tcPr>
            <w:tcW w:type="dxa" w:w="864"/>
            <w:shd w:fill="FFFFFF"/>
            <w:tcMar>
              <w:top w:w="80" w:type="dxa"/>
              <w:bottom w:w="80" w:type="dxa"/>
              <w:left w:w="120" w:type="dxa"/>
              <w:right w:w="120" w:type="dxa"/>
            </w:tcMar>
          </w:tcPr>
          <w:p>
            <w:pPr>
              <w:jc w:val="right"/>
            </w:pPr>
            <w:r>
              <w:rPr>
                <w:rFonts w:ascii="Calibri" w:hAnsi="Calibri"/>
                <w:color w:val="2B2D42"/>
                <w:sz w:val="18"/>
              </w:rPr>
              <w:t>17.28</w:t>
            </w:r>
          </w:p>
        </w:tc>
        <w:tc>
          <w:tcPr>
            <w:tcW w:type="dxa" w:w="864"/>
            <w:shd w:fill="FFFFFF"/>
            <w:tcMar>
              <w:top w:w="80" w:type="dxa"/>
              <w:bottom w:w="80" w:type="dxa"/>
              <w:left w:w="120" w:type="dxa"/>
              <w:right w:w="120" w:type="dxa"/>
            </w:tcMar>
          </w:tcPr>
          <w:p>
            <w:pPr>
              <w:jc w:val="right"/>
            </w:pPr>
            <w:r>
              <w:rPr>
                <w:rFonts w:ascii="Calibri" w:hAnsi="Calibri"/>
                <w:color w:val="2B2D42"/>
                <w:sz w:val="18"/>
              </w:rPr>
              <w:t>209.94</w:t>
            </w:r>
          </w:p>
        </w:tc>
        <w:tc>
          <w:tcPr>
            <w:tcW w:type="dxa" w:w="1008"/>
            <w:shd w:fill="FFFFFF"/>
            <w:tcMar>
              <w:top w:w="80" w:type="dxa"/>
              <w:bottom w:w="80" w:type="dxa"/>
              <w:left w:w="120" w:type="dxa"/>
              <w:right w:w="120" w:type="dxa"/>
            </w:tcMar>
          </w:tcPr>
          <w:p>
            <w:pPr>
              <w:jc w:val="right"/>
            </w:pPr>
            <w:r>
              <w:rPr>
                <w:rFonts w:ascii="Calibri" w:hAnsi="Calibri"/>
                <w:color w:val="2B2D42"/>
                <w:sz w:val="18"/>
              </w:rPr>
              <w:t>22,638.48</w:t>
            </w:r>
          </w:p>
        </w:tc>
        <w:tc>
          <w:tcPr>
            <w:tcW w:type="dxa" w:w="864"/>
            <w:shd w:fill="FFFFFF"/>
            <w:tcMar>
              <w:top w:w="80" w:type="dxa"/>
              <w:bottom w:w="80" w:type="dxa"/>
              <w:left w:w="120" w:type="dxa"/>
              <w:right w:w="120" w:type="dxa"/>
            </w:tcMar>
          </w:tcPr>
          <w:p>
            <w:pPr>
              <w:jc w:val="right"/>
            </w:pPr>
            <w:r>
              <w:rPr>
                <w:rFonts w:ascii="Calibri" w:hAnsi="Calibri"/>
                <w:color w:val="2B2D42"/>
                <w:sz w:val="18"/>
              </w:rPr>
              <w:t>192.66</w:t>
            </w:r>
          </w:p>
        </w:tc>
      </w:tr>
      <w:tr>
        <w:tc>
          <w:tcPr>
            <w:tcW w:type="dxa" w:w="1728"/>
            <w:shd w:fill="F8F9FA"/>
            <w:tcMar>
              <w:top w:w="80" w:type="dxa"/>
              <w:bottom w:w="80" w:type="dxa"/>
              <w:left w:w="120" w:type="dxa"/>
              <w:right w:w="120" w:type="dxa"/>
            </w:tcMar>
          </w:tcPr>
          <w:p>
            <w:pPr>
              <w:jc w:val="left"/>
            </w:pPr>
            <w:r>
              <w:rPr>
                <w:rFonts w:ascii="Calibri" w:hAnsi="Calibri"/>
                <w:color w:val="2B2D42"/>
                <w:sz w:val="18"/>
              </w:rPr>
              <w:t>Quantity (Units)</w:t>
            </w:r>
          </w:p>
        </w:tc>
        <w:tc>
          <w:tcPr>
            <w:tcW w:type="dxa" w:w="720"/>
            <w:shd w:fill="F8F9FA"/>
            <w:tcMar>
              <w:top w:w="80" w:type="dxa"/>
              <w:bottom w:w="80" w:type="dxa"/>
              <w:left w:w="120" w:type="dxa"/>
              <w:right w:w="120" w:type="dxa"/>
            </w:tcMar>
          </w:tcPr>
          <w:p>
            <w:pPr>
              <w:jc w:val="right"/>
            </w:pPr>
            <w:r>
              <w:rPr>
                <w:rFonts w:ascii="Calibri" w:hAnsi="Calibri"/>
                <w:color w:val="2B2D42"/>
                <w:sz w:val="18"/>
              </w:rPr>
              <w:t>9,994</w:t>
            </w:r>
          </w:p>
        </w:tc>
        <w:tc>
          <w:tcPr>
            <w:tcW w:type="dxa" w:w="864"/>
            <w:shd w:fill="F8F9FA"/>
            <w:tcMar>
              <w:top w:w="80" w:type="dxa"/>
              <w:bottom w:w="80" w:type="dxa"/>
              <w:left w:w="120" w:type="dxa"/>
              <w:right w:w="120" w:type="dxa"/>
            </w:tcMar>
          </w:tcPr>
          <w:p>
            <w:pPr>
              <w:jc w:val="right"/>
            </w:pPr>
            <w:r>
              <w:rPr>
                <w:rFonts w:ascii="Calibri" w:hAnsi="Calibri"/>
                <w:color w:val="2B2D42"/>
                <w:sz w:val="18"/>
              </w:rPr>
              <w:t>3.79</w:t>
            </w:r>
          </w:p>
        </w:tc>
        <w:tc>
          <w:tcPr>
            <w:tcW w:type="dxa" w:w="864"/>
            <w:shd w:fill="F8F9FA"/>
            <w:tcMar>
              <w:top w:w="80" w:type="dxa"/>
              <w:bottom w:w="80" w:type="dxa"/>
              <w:left w:w="120" w:type="dxa"/>
              <w:right w:w="120" w:type="dxa"/>
            </w:tcMar>
          </w:tcPr>
          <w:p>
            <w:pPr>
              <w:jc w:val="right"/>
            </w:pPr>
            <w:r>
              <w:rPr>
                <w:rFonts w:ascii="Calibri" w:hAnsi="Calibri"/>
                <w:color w:val="2B2D42"/>
                <w:sz w:val="18"/>
              </w:rPr>
              <w:t>3.00</w:t>
            </w:r>
          </w:p>
        </w:tc>
        <w:tc>
          <w:tcPr>
            <w:tcW w:type="dxa" w:w="864"/>
            <w:shd w:fill="F8F9FA"/>
            <w:tcMar>
              <w:top w:w="80" w:type="dxa"/>
              <w:bottom w:w="80" w:type="dxa"/>
              <w:left w:w="120" w:type="dxa"/>
              <w:right w:w="120" w:type="dxa"/>
            </w:tcMar>
          </w:tcPr>
          <w:p>
            <w:pPr>
              <w:jc w:val="right"/>
            </w:pPr>
            <w:r>
              <w:rPr>
                <w:rFonts w:ascii="Calibri" w:hAnsi="Calibri"/>
                <w:color w:val="2B2D42"/>
                <w:sz w:val="18"/>
              </w:rPr>
              <w:t>2.23</w:t>
            </w:r>
          </w:p>
        </w:tc>
        <w:tc>
          <w:tcPr>
            <w:tcW w:type="dxa" w:w="1008"/>
            <w:shd w:fill="F8F9FA"/>
            <w:tcMar>
              <w:top w:w="80" w:type="dxa"/>
              <w:bottom w:w="80" w:type="dxa"/>
              <w:left w:w="120" w:type="dxa"/>
              <w:right w:w="120" w:type="dxa"/>
            </w:tcMar>
          </w:tcPr>
          <w:p>
            <w:pPr>
              <w:jc w:val="right"/>
            </w:pPr>
            <w:r>
              <w:rPr>
                <w:rFonts w:ascii="Calibri" w:hAnsi="Calibri"/>
                <w:color w:val="2B2D42"/>
                <w:sz w:val="18"/>
              </w:rPr>
              <w:t>1.00</w:t>
            </w:r>
          </w:p>
        </w:tc>
        <w:tc>
          <w:tcPr>
            <w:tcW w:type="dxa" w:w="864"/>
            <w:shd w:fill="F8F9FA"/>
            <w:tcMar>
              <w:top w:w="80" w:type="dxa"/>
              <w:bottom w:w="80" w:type="dxa"/>
              <w:left w:w="120" w:type="dxa"/>
              <w:right w:w="120" w:type="dxa"/>
            </w:tcMar>
          </w:tcPr>
          <w:p>
            <w:pPr>
              <w:jc w:val="right"/>
            </w:pPr>
            <w:r>
              <w:rPr>
                <w:rFonts w:ascii="Calibri" w:hAnsi="Calibri"/>
                <w:color w:val="2B2D42"/>
                <w:sz w:val="18"/>
              </w:rPr>
              <w:t>2.00</w:t>
            </w:r>
          </w:p>
        </w:tc>
        <w:tc>
          <w:tcPr>
            <w:tcW w:type="dxa" w:w="864"/>
            <w:shd w:fill="F8F9FA"/>
            <w:tcMar>
              <w:top w:w="80" w:type="dxa"/>
              <w:bottom w:w="80" w:type="dxa"/>
              <w:left w:w="120" w:type="dxa"/>
              <w:right w:w="120" w:type="dxa"/>
            </w:tcMar>
          </w:tcPr>
          <w:p>
            <w:pPr>
              <w:jc w:val="right"/>
            </w:pPr>
            <w:r>
              <w:rPr>
                <w:rFonts w:ascii="Calibri" w:hAnsi="Calibri"/>
                <w:color w:val="2B2D42"/>
                <w:sz w:val="18"/>
              </w:rPr>
              <w:t>5.00</w:t>
            </w:r>
          </w:p>
        </w:tc>
        <w:tc>
          <w:tcPr>
            <w:tcW w:type="dxa" w:w="1008"/>
            <w:shd w:fill="F8F9FA"/>
            <w:tcMar>
              <w:top w:w="80" w:type="dxa"/>
              <w:bottom w:w="80" w:type="dxa"/>
              <w:left w:w="120" w:type="dxa"/>
              <w:right w:w="120" w:type="dxa"/>
            </w:tcMar>
          </w:tcPr>
          <w:p>
            <w:pPr>
              <w:jc w:val="right"/>
            </w:pPr>
            <w:r>
              <w:rPr>
                <w:rFonts w:ascii="Calibri" w:hAnsi="Calibri"/>
                <w:color w:val="2B2D42"/>
                <w:sz w:val="18"/>
              </w:rPr>
              <w:t>14.00</w:t>
            </w:r>
          </w:p>
        </w:tc>
        <w:tc>
          <w:tcPr>
            <w:tcW w:type="dxa" w:w="864"/>
            <w:shd w:fill="F8F9FA"/>
            <w:tcMar>
              <w:top w:w="80" w:type="dxa"/>
              <w:bottom w:w="80" w:type="dxa"/>
              <w:left w:w="120" w:type="dxa"/>
              <w:right w:w="120" w:type="dxa"/>
            </w:tcMar>
          </w:tcPr>
          <w:p>
            <w:pPr>
              <w:jc w:val="right"/>
            </w:pPr>
            <w:r>
              <w:rPr>
                <w:rFonts w:ascii="Calibri" w:hAnsi="Calibri"/>
                <w:color w:val="2B2D42"/>
                <w:sz w:val="18"/>
              </w:rPr>
              <w:t>3.00</w:t>
            </w:r>
          </w:p>
        </w:tc>
      </w:tr>
      <w:tr>
        <w:tc>
          <w:tcPr>
            <w:tcW w:type="dxa" w:w="1728"/>
            <w:shd w:fill="FFFFFF"/>
            <w:tcMar>
              <w:top w:w="80" w:type="dxa"/>
              <w:bottom w:w="80" w:type="dxa"/>
              <w:left w:w="120" w:type="dxa"/>
              <w:right w:w="120" w:type="dxa"/>
            </w:tcMar>
          </w:tcPr>
          <w:p>
            <w:pPr>
              <w:jc w:val="left"/>
            </w:pPr>
            <w:r>
              <w:rPr>
                <w:rFonts w:ascii="Calibri" w:hAnsi="Calibri"/>
                <w:color w:val="2B2D42"/>
                <w:sz w:val="18"/>
              </w:rPr>
              <w:t>Discount (Rate)</w:t>
            </w:r>
          </w:p>
        </w:tc>
        <w:tc>
          <w:tcPr>
            <w:tcW w:type="dxa" w:w="720"/>
            <w:shd w:fill="FFFFFF"/>
            <w:tcMar>
              <w:top w:w="80" w:type="dxa"/>
              <w:bottom w:w="80" w:type="dxa"/>
              <w:left w:w="120" w:type="dxa"/>
              <w:right w:w="120" w:type="dxa"/>
            </w:tcMar>
          </w:tcPr>
          <w:p>
            <w:pPr>
              <w:jc w:val="right"/>
            </w:pPr>
            <w:r>
              <w:rPr>
                <w:rFonts w:ascii="Calibri" w:hAnsi="Calibri"/>
                <w:color w:val="2B2D42"/>
                <w:sz w:val="18"/>
              </w:rPr>
              <w:t>9,994</w:t>
            </w:r>
          </w:p>
        </w:tc>
        <w:tc>
          <w:tcPr>
            <w:tcW w:type="dxa" w:w="864"/>
            <w:shd w:fill="FFFFFF"/>
            <w:tcMar>
              <w:top w:w="80" w:type="dxa"/>
              <w:bottom w:w="80" w:type="dxa"/>
              <w:left w:w="120" w:type="dxa"/>
              <w:right w:w="120" w:type="dxa"/>
            </w:tcMar>
          </w:tcPr>
          <w:p>
            <w:pPr>
              <w:jc w:val="right"/>
            </w:pPr>
            <w:r>
              <w:rPr>
                <w:rFonts w:ascii="Calibri" w:hAnsi="Calibri"/>
                <w:color w:val="2B2D42"/>
                <w:sz w:val="18"/>
              </w:rPr>
              <w:t>0.16</w:t>
            </w:r>
          </w:p>
        </w:tc>
        <w:tc>
          <w:tcPr>
            <w:tcW w:type="dxa" w:w="864"/>
            <w:shd w:fill="FFFFFF"/>
            <w:tcMar>
              <w:top w:w="80" w:type="dxa"/>
              <w:bottom w:w="80" w:type="dxa"/>
              <w:left w:w="120" w:type="dxa"/>
              <w:right w:w="120" w:type="dxa"/>
            </w:tcMar>
          </w:tcPr>
          <w:p>
            <w:pPr>
              <w:jc w:val="right"/>
            </w:pPr>
            <w:r>
              <w:rPr>
                <w:rFonts w:ascii="Calibri" w:hAnsi="Calibri"/>
                <w:color w:val="2B2D42"/>
                <w:sz w:val="18"/>
              </w:rPr>
              <w:t>0.20</w:t>
            </w:r>
          </w:p>
        </w:tc>
        <w:tc>
          <w:tcPr>
            <w:tcW w:type="dxa" w:w="864"/>
            <w:shd w:fill="FFFFFF"/>
            <w:tcMar>
              <w:top w:w="80" w:type="dxa"/>
              <w:bottom w:w="80" w:type="dxa"/>
              <w:left w:w="120" w:type="dxa"/>
              <w:right w:w="120" w:type="dxa"/>
            </w:tcMar>
          </w:tcPr>
          <w:p>
            <w:pPr>
              <w:jc w:val="right"/>
            </w:pPr>
            <w:r>
              <w:rPr>
                <w:rFonts w:ascii="Calibri" w:hAnsi="Calibri"/>
                <w:color w:val="2B2D42"/>
                <w:sz w:val="18"/>
              </w:rPr>
              <w:t>0.21</w:t>
            </w:r>
          </w:p>
        </w:tc>
        <w:tc>
          <w:tcPr>
            <w:tcW w:type="dxa" w:w="1008"/>
            <w:shd w:fill="FFFFFF"/>
            <w:tcMar>
              <w:top w:w="80" w:type="dxa"/>
              <w:bottom w:w="80" w:type="dxa"/>
              <w:left w:w="120" w:type="dxa"/>
              <w:right w:w="120" w:type="dxa"/>
            </w:tcMar>
          </w:tcPr>
          <w:p>
            <w:pPr>
              <w:jc w:val="right"/>
            </w:pPr>
            <w:r>
              <w:rPr>
                <w:rFonts w:ascii="Calibri" w:hAnsi="Calibri"/>
                <w:color w:val="2B2D42"/>
                <w:sz w:val="18"/>
              </w:rPr>
              <w:t>0.00</w:t>
            </w:r>
          </w:p>
        </w:tc>
        <w:tc>
          <w:tcPr>
            <w:tcW w:type="dxa" w:w="864"/>
            <w:shd w:fill="FFFFFF"/>
            <w:tcMar>
              <w:top w:w="80" w:type="dxa"/>
              <w:bottom w:w="80" w:type="dxa"/>
              <w:left w:w="120" w:type="dxa"/>
              <w:right w:w="120" w:type="dxa"/>
            </w:tcMar>
          </w:tcPr>
          <w:p>
            <w:pPr>
              <w:jc w:val="right"/>
            </w:pPr>
            <w:r>
              <w:rPr>
                <w:rFonts w:ascii="Calibri" w:hAnsi="Calibri"/>
                <w:color w:val="2B2D42"/>
                <w:sz w:val="18"/>
              </w:rPr>
              <w:t>0.00</w:t>
            </w:r>
          </w:p>
        </w:tc>
        <w:tc>
          <w:tcPr>
            <w:tcW w:type="dxa" w:w="864"/>
            <w:shd w:fill="FFFFFF"/>
            <w:tcMar>
              <w:top w:w="80" w:type="dxa"/>
              <w:bottom w:w="80" w:type="dxa"/>
              <w:left w:w="120" w:type="dxa"/>
              <w:right w:w="120" w:type="dxa"/>
            </w:tcMar>
          </w:tcPr>
          <w:p>
            <w:pPr>
              <w:jc w:val="right"/>
            </w:pPr>
            <w:r>
              <w:rPr>
                <w:rFonts w:ascii="Calibri" w:hAnsi="Calibri"/>
                <w:color w:val="2B2D42"/>
                <w:sz w:val="18"/>
              </w:rPr>
              <w:t>0.20</w:t>
            </w:r>
          </w:p>
        </w:tc>
        <w:tc>
          <w:tcPr>
            <w:tcW w:type="dxa" w:w="1008"/>
            <w:shd w:fill="FFFFFF"/>
            <w:tcMar>
              <w:top w:w="80" w:type="dxa"/>
              <w:bottom w:w="80" w:type="dxa"/>
              <w:left w:w="120" w:type="dxa"/>
              <w:right w:w="120" w:type="dxa"/>
            </w:tcMar>
          </w:tcPr>
          <w:p>
            <w:pPr>
              <w:jc w:val="right"/>
            </w:pPr>
            <w:r>
              <w:rPr>
                <w:rFonts w:ascii="Calibri" w:hAnsi="Calibri"/>
                <w:color w:val="2B2D42"/>
                <w:sz w:val="18"/>
              </w:rPr>
              <w:t>0.80</w:t>
            </w:r>
          </w:p>
        </w:tc>
        <w:tc>
          <w:tcPr>
            <w:tcW w:type="dxa" w:w="864"/>
            <w:shd w:fill="FFFFFF"/>
            <w:tcMar>
              <w:top w:w="80" w:type="dxa"/>
              <w:bottom w:w="80" w:type="dxa"/>
              <w:left w:w="120" w:type="dxa"/>
              <w:right w:w="120" w:type="dxa"/>
            </w:tcMar>
          </w:tcPr>
          <w:p>
            <w:pPr>
              <w:jc w:val="right"/>
            </w:pPr>
            <w:r>
              <w:rPr>
                <w:rFonts w:ascii="Calibri" w:hAnsi="Calibri"/>
                <w:color w:val="2B2D42"/>
                <w:sz w:val="18"/>
              </w:rPr>
              <w:t>0.20</w:t>
            </w:r>
          </w:p>
        </w:tc>
      </w:tr>
      <w:tr>
        <w:tc>
          <w:tcPr>
            <w:tcW w:type="dxa" w:w="1728"/>
            <w:shd w:fill="F8F9FA"/>
            <w:tcMar>
              <w:top w:w="80" w:type="dxa"/>
              <w:bottom w:w="80" w:type="dxa"/>
              <w:left w:w="120" w:type="dxa"/>
              <w:right w:w="120" w:type="dxa"/>
            </w:tcMar>
          </w:tcPr>
          <w:p>
            <w:pPr>
              <w:jc w:val="left"/>
            </w:pPr>
            <w:r>
              <w:rPr>
                <w:rFonts w:ascii="Calibri" w:hAnsi="Calibri"/>
                <w:color w:val="2B2D42"/>
                <w:sz w:val="18"/>
              </w:rPr>
              <w:t>Profit ($)</w:t>
            </w:r>
          </w:p>
        </w:tc>
        <w:tc>
          <w:tcPr>
            <w:tcW w:type="dxa" w:w="720"/>
            <w:shd w:fill="F8F9FA"/>
            <w:tcMar>
              <w:top w:w="80" w:type="dxa"/>
              <w:bottom w:w="80" w:type="dxa"/>
              <w:left w:w="120" w:type="dxa"/>
              <w:right w:w="120" w:type="dxa"/>
            </w:tcMar>
          </w:tcPr>
          <w:p>
            <w:pPr>
              <w:jc w:val="right"/>
            </w:pPr>
            <w:r>
              <w:rPr>
                <w:rFonts w:ascii="Calibri" w:hAnsi="Calibri"/>
                <w:color w:val="2B2D42"/>
                <w:sz w:val="18"/>
              </w:rPr>
              <w:t>9,994</w:t>
            </w:r>
          </w:p>
        </w:tc>
        <w:tc>
          <w:tcPr>
            <w:tcW w:type="dxa" w:w="864"/>
            <w:shd w:fill="F8F9FA"/>
            <w:tcMar>
              <w:top w:w="80" w:type="dxa"/>
              <w:bottom w:w="80" w:type="dxa"/>
              <w:left w:w="120" w:type="dxa"/>
              <w:right w:w="120" w:type="dxa"/>
            </w:tcMar>
          </w:tcPr>
          <w:p>
            <w:pPr>
              <w:jc w:val="right"/>
            </w:pPr>
            <w:r>
              <w:rPr>
                <w:rFonts w:ascii="Calibri" w:hAnsi="Calibri"/>
                <w:color w:val="2B2D42"/>
                <w:sz w:val="18"/>
              </w:rPr>
              <w:t>28.66</w:t>
            </w:r>
          </w:p>
        </w:tc>
        <w:tc>
          <w:tcPr>
            <w:tcW w:type="dxa" w:w="864"/>
            <w:shd w:fill="F8F9FA"/>
            <w:tcMar>
              <w:top w:w="80" w:type="dxa"/>
              <w:bottom w:w="80" w:type="dxa"/>
              <w:left w:w="120" w:type="dxa"/>
              <w:right w:w="120" w:type="dxa"/>
            </w:tcMar>
          </w:tcPr>
          <w:p>
            <w:pPr>
              <w:jc w:val="right"/>
            </w:pPr>
            <w:r>
              <w:rPr>
                <w:rFonts w:ascii="Calibri" w:hAnsi="Calibri"/>
                <w:color w:val="2B2D42"/>
                <w:sz w:val="18"/>
              </w:rPr>
              <w:t>8.67</w:t>
            </w:r>
          </w:p>
        </w:tc>
        <w:tc>
          <w:tcPr>
            <w:tcW w:type="dxa" w:w="864"/>
            <w:shd w:fill="F8F9FA"/>
            <w:tcMar>
              <w:top w:w="80" w:type="dxa"/>
              <w:bottom w:w="80" w:type="dxa"/>
              <w:left w:w="120" w:type="dxa"/>
              <w:right w:w="120" w:type="dxa"/>
            </w:tcMar>
          </w:tcPr>
          <w:p>
            <w:pPr>
              <w:jc w:val="right"/>
            </w:pPr>
            <w:r>
              <w:rPr>
                <w:rFonts w:ascii="Calibri" w:hAnsi="Calibri"/>
                <w:color w:val="2B2D42"/>
                <w:sz w:val="18"/>
              </w:rPr>
              <w:t>234.26</w:t>
            </w:r>
          </w:p>
        </w:tc>
        <w:tc>
          <w:tcPr>
            <w:tcW w:type="dxa" w:w="1008"/>
            <w:shd w:fill="F8F9FA"/>
            <w:tcMar>
              <w:top w:w="80" w:type="dxa"/>
              <w:bottom w:w="80" w:type="dxa"/>
              <w:left w:w="120" w:type="dxa"/>
              <w:right w:w="120" w:type="dxa"/>
            </w:tcMar>
          </w:tcPr>
          <w:p>
            <w:pPr>
              <w:jc w:val="right"/>
            </w:pPr>
            <w:r>
              <w:rPr>
                <w:rFonts w:ascii="Calibri" w:hAnsi="Calibri"/>
                <w:color w:val="2B2D42"/>
                <w:sz w:val="18"/>
              </w:rPr>
              <w:t>-6,599.98</w:t>
            </w:r>
          </w:p>
        </w:tc>
        <w:tc>
          <w:tcPr>
            <w:tcW w:type="dxa" w:w="864"/>
            <w:shd w:fill="F8F9FA"/>
            <w:tcMar>
              <w:top w:w="80" w:type="dxa"/>
              <w:bottom w:w="80" w:type="dxa"/>
              <w:left w:w="120" w:type="dxa"/>
              <w:right w:w="120" w:type="dxa"/>
            </w:tcMar>
          </w:tcPr>
          <w:p>
            <w:pPr>
              <w:jc w:val="right"/>
            </w:pPr>
            <w:r>
              <w:rPr>
                <w:rFonts w:ascii="Calibri" w:hAnsi="Calibri"/>
                <w:color w:val="2B2D42"/>
                <w:sz w:val="18"/>
              </w:rPr>
              <w:t>1.73</w:t>
            </w:r>
          </w:p>
        </w:tc>
        <w:tc>
          <w:tcPr>
            <w:tcW w:type="dxa" w:w="864"/>
            <w:shd w:fill="F8F9FA"/>
            <w:tcMar>
              <w:top w:w="80" w:type="dxa"/>
              <w:bottom w:w="80" w:type="dxa"/>
              <w:left w:w="120" w:type="dxa"/>
              <w:right w:w="120" w:type="dxa"/>
            </w:tcMar>
          </w:tcPr>
          <w:p>
            <w:pPr>
              <w:jc w:val="right"/>
            </w:pPr>
            <w:r>
              <w:rPr>
                <w:rFonts w:ascii="Calibri" w:hAnsi="Calibri"/>
                <w:color w:val="2B2D42"/>
                <w:sz w:val="18"/>
              </w:rPr>
              <w:t>29.36</w:t>
            </w:r>
          </w:p>
        </w:tc>
        <w:tc>
          <w:tcPr>
            <w:tcW w:type="dxa" w:w="1008"/>
            <w:shd w:fill="F8F9FA"/>
            <w:tcMar>
              <w:top w:w="80" w:type="dxa"/>
              <w:bottom w:w="80" w:type="dxa"/>
              <w:left w:w="120" w:type="dxa"/>
              <w:right w:w="120" w:type="dxa"/>
            </w:tcMar>
          </w:tcPr>
          <w:p>
            <w:pPr>
              <w:jc w:val="right"/>
            </w:pPr>
            <w:r>
              <w:rPr>
                <w:rFonts w:ascii="Calibri" w:hAnsi="Calibri"/>
                <w:color w:val="2B2D42"/>
                <w:sz w:val="18"/>
              </w:rPr>
              <w:t>8,399.98</w:t>
            </w:r>
          </w:p>
        </w:tc>
        <w:tc>
          <w:tcPr>
            <w:tcW w:type="dxa" w:w="864"/>
            <w:shd w:fill="F8F9FA"/>
            <w:tcMar>
              <w:top w:w="80" w:type="dxa"/>
              <w:bottom w:w="80" w:type="dxa"/>
              <w:left w:w="120" w:type="dxa"/>
              <w:right w:w="120" w:type="dxa"/>
            </w:tcMar>
          </w:tcPr>
          <w:p>
            <w:pPr>
              <w:jc w:val="right"/>
            </w:pPr>
            <w:r>
              <w:rPr>
                <w:rFonts w:ascii="Calibri" w:hAnsi="Calibri"/>
                <w:color w:val="2B2D42"/>
                <w:sz w:val="18"/>
              </w:rPr>
              <w:t>27.64</w:t>
            </w:r>
          </w:p>
        </w:tc>
      </w:tr>
      <w:tr>
        <w:tc>
          <w:tcPr>
            <w:tcW w:type="dxa" w:w="1728"/>
            <w:shd w:fill="FFFFFF"/>
            <w:tcMar>
              <w:top w:w="80" w:type="dxa"/>
              <w:bottom w:w="80" w:type="dxa"/>
              <w:left w:w="120" w:type="dxa"/>
              <w:right w:w="120" w:type="dxa"/>
            </w:tcMar>
          </w:tcPr>
          <w:p>
            <w:pPr>
              <w:jc w:val="left"/>
            </w:pPr>
            <w:r>
              <w:rPr>
                <w:rFonts w:ascii="Calibri" w:hAnsi="Calibri"/>
                <w:color w:val="2B2D42"/>
                <w:sz w:val="18"/>
              </w:rPr>
              <w:t>Profit Margin (%)</w:t>
            </w:r>
          </w:p>
        </w:tc>
        <w:tc>
          <w:tcPr>
            <w:tcW w:type="dxa" w:w="720"/>
            <w:shd w:fill="FFFFFF"/>
            <w:tcMar>
              <w:top w:w="80" w:type="dxa"/>
              <w:bottom w:w="80" w:type="dxa"/>
              <w:left w:w="120" w:type="dxa"/>
              <w:right w:w="120" w:type="dxa"/>
            </w:tcMar>
          </w:tcPr>
          <w:p>
            <w:pPr>
              <w:jc w:val="right"/>
            </w:pPr>
            <w:r>
              <w:rPr>
                <w:rFonts w:ascii="Calibri" w:hAnsi="Calibri"/>
                <w:color w:val="2B2D42"/>
                <w:sz w:val="18"/>
              </w:rPr>
              <w:t>9,994</w:t>
            </w:r>
          </w:p>
        </w:tc>
        <w:tc>
          <w:tcPr>
            <w:tcW w:type="dxa" w:w="864"/>
            <w:shd w:fill="FFFFFF"/>
            <w:tcMar>
              <w:top w:w="80" w:type="dxa"/>
              <w:bottom w:w="80" w:type="dxa"/>
              <w:left w:w="120" w:type="dxa"/>
              <w:right w:w="120" w:type="dxa"/>
            </w:tcMar>
          </w:tcPr>
          <w:p>
            <w:pPr>
              <w:jc w:val="right"/>
            </w:pPr>
            <w:r>
              <w:rPr>
                <w:rFonts w:ascii="Calibri" w:hAnsi="Calibri"/>
                <w:color w:val="2B2D42"/>
                <w:sz w:val="18"/>
              </w:rPr>
              <w:t>12.03</w:t>
            </w:r>
          </w:p>
        </w:tc>
        <w:tc>
          <w:tcPr>
            <w:tcW w:type="dxa" w:w="864"/>
            <w:shd w:fill="FFFFFF"/>
            <w:tcMar>
              <w:top w:w="80" w:type="dxa"/>
              <w:bottom w:w="80" w:type="dxa"/>
              <w:left w:w="120" w:type="dxa"/>
              <w:right w:w="120" w:type="dxa"/>
            </w:tcMar>
          </w:tcPr>
          <w:p>
            <w:pPr>
              <w:jc w:val="right"/>
            </w:pPr>
            <w:r>
              <w:rPr>
                <w:rFonts w:ascii="Calibri" w:hAnsi="Calibri"/>
                <w:color w:val="2B2D42"/>
                <w:sz w:val="18"/>
              </w:rPr>
              <w:t>27.00</w:t>
            </w:r>
          </w:p>
        </w:tc>
        <w:tc>
          <w:tcPr>
            <w:tcW w:type="dxa" w:w="864"/>
            <w:shd w:fill="FFFFFF"/>
            <w:tcMar>
              <w:top w:w="80" w:type="dxa"/>
              <w:bottom w:w="80" w:type="dxa"/>
              <w:left w:w="120" w:type="dxa"/>
              <w:right w:w="120" w:type="dxa"/>
            </w:tcMar>
          </w:tcPr>
          <w:p>
            <w:pPr>
              <w:jc w:val="right"/>
            </w:pPr>
            <w:r>
              <w:rPr>
                <w:rFonts w:ascii="Calibri" w:hAnsi="Calibri"/>
                <w:color w:val="2B2D42"/>
                <w:sz w:val="18"/>
              </w:rPr>
              <w:t>46.66</w:t>
            </w:r>
          </w:p>
        </w:tc>
        <w:tc>
          <w:tcPr>
            <w:tcW w:type="dxa" w:w="1008"/>
            <w:shd w:fill="FFFFFF"/>
            <w:tcMar>
              <w:top w:w="80" w:type="dxa"/>
              <w:bottom w:w="80" w:type="dxa"/>
              <w:left w:w="120" w:type="dxa"/>
              <w:right w:w="120" w:type="dxa"/>
            </w:tcMar>
          </w:tcPr>
          <w:p>
            <w:pPr>
              <w:jc w:val="right"/>
            </w:pPr>
            <w:r>
              <w:rPr>
                <w:rFonts w:ascii="Calibri" w:hAnsi="Calibri"/>
                <w:color w:val="2B2D42"/>
                <w:sz w:val="18"/>
              </w:rPr>
              <w:t>-275.00</w:t>
            </w:r>
          </w:p>
        </w:tc>
        <w:tc>
          <w:tcPr>
            <w:tcW w:type="dxa" w:w="864"/>
            <w:shd w:fill="FFFFFF"/>
            <w:tcMar>
              <w:top w:w="80" w:type="dxa"/>
              <w:bottom w:w="80" w:type="dxa"/>
              <w:left w:w="120" w:type="dxa"/>
              <w:right w:w="120" w:type="dxa"/>
            </w:tcMar>
          </w:tcPr>
          <w:p>
            <w:pPr>
              <w:jc w:val="right"/>
            </w:pPr>
            <w:r>
              <w:rPr>
                <w:rFonts w:ascii="Calibri" w:hAnsi="Calibri"/>
                <w:color w:val="2B2D42"/>
                <w:sz w:val="18"/>
              </w:rPr>
              <w:t>7.50</w:t>
            </w:r>
          </w:p>
        </w:tc>
        <w:tc>
          <w:tcPr>
            <w:tcW w:type="dxa" w:w="864"/>
            <w:shd w:fill="FFFFFF"/>
            <w:tcMar>
              <w:top w:w="80" w:type="dxa"/>
              <w:bottom w:w="80" w:type="dxa"/>
              <w:left w:w="120" w:type="dxa"/>
              <w:right w:w="120" w:type="dxa"/>
            </w:tcMar>
          </w:tcPr>
          <w:p>
            <w:pPr>
              <w:jc w:val="right"/>
            </w:pPr>
            <w:r>
              <w:rPr>
                <w:rFonts w:ascii="Calibri" w:hAnsi="Calibri"/>
                <w:color w:val="2B2D42"/>
                <w:sz w:val="18"/>
              </w:rPr>
              <w:t>36.25</w:t>
            </w:r>
          </w:p>
        </w:tc>
        <w:tc>
          <w:tcPr>
            <w:tcW w:type="dxa" w:w="1008"/>
            <w:shd w:fill="FFFFFF"/>
            <w:tcMar>
              <w:top w:w="80" w:type="dxa"/>
              <w:bottom w:w="80" w:type="dxa"/>
              <w:left w:w="120" w:type="dxa"/>
              <w:right w:w="120" w:type="dxa"/>
            </w:tcMar>
          </w:tcPr>
          <w:p>
            <w:pPr>
              <w:jc w:val="right"/>
            </w:pPr>
            <w:r>
              <w:rPr>
                <w:rFonts w:ascii="Calibri" w:hAnsi="Calibri"/>
                <w:color w:val="2B2D42"/>
                <w:sz w:val="18"/>
              </w:rPr>
              <w:t>50.00</w:t>
            </w:r>
          </w:p>
        </w:tc>
        <w:tc>
          <w:tcPr>
            <w:tcW w:type="dxa" w:w="864"/>
            <w:shd w:fill="FFFFFF"/>
            <w:tcMar>
              <w:top w:w="80" w:type="dxa"/>
              <w:bottom w:w="80" w:type="dxa"/>
              <w:left w:w="120" w:type="dxa"/>
              <w:right w:w="120" w:type="dxa"/>
            </w:tcMar>
          </w:tcPr>
          <w:p>
            <w:pPr>
              <w:jc w:val="right"/>
            </w:pPr>
            <w:r>
              <w:rPr>
                <w:rFonts w:ascii="Calibri" w:hAnsi="Calibri"/>
                <w:color w:val="2B2D42"/>
                <w:sz w:val="18"/>
              </w:rPr>
              <w:t>28.75</w:t>
            </w:r>
          </w:p>
        </w:tc>
      </w:tr>
    </w:tbl>
    <w:p>
      <w:pPr>
        <w:spacing w:after="80"/>
      </w:pPr>
    </w:p>
    <w:p>
      <w:pPr>
        <w:spacing w:after="80" w:line="276" w:lineRule="auto"/>
      </w:pPr>
      <w:r>
        <w:rPr>
          <w:rFonts w:ascii="Calibri" w:hAnsi="Calibri"/>
          <w:color w:val="2B2D42"/>
          <w:sz w:val="22"/>
        </w:rPr>
        <w:t>Crucial Statistical Note: For Sales, the mean ($229.86) is more than 4.2 times higher than the median ($54.49), with an IQR of $192.66 and a maximum of $22,638.48. Exactly 75% of all orders are under $210, proving that Superstore's order distribution consists of a massive volume of low-value transactions coupled with a long, heavy right tail of commercial equipment orders. For Profit, the mean is $28.66 while the median is $8.67, with standard deviation ($234.26) exceeding the mean by more than 8 times, driven by severe negative outliers down to -$6,599.98.</w:t>
      </w:r>
    </w:p>
    <w:p>
      <w:pPr>
        <w:keepNext/>
        <w:spacing w:before="240" w:after="80"/>
      </w:pPr>
      <w:r>
        <w:rPr>
          <w:rFonts w:ascii="Calibri" w:hAnsi="Calibri"/>
          <w:b/>
          <w:color w:val="457B9D"/>
          <w:sz w:val="27"/>
        </w:rPr>
        <w:t>6.2 Method 2: Compositional Frequency Analysis</w:t>
      </w:r>
    </w:p>
    <w:p>
      <w:pPr>
        <w:spacing w:after="80" w:line="276" w:lineRule="auto"/>
      </w:pPr>
      <w:r>
        <w:rPr>
          <w:rFonts w:ascii="Calibri" w:hAnsi="Calibri"/>
          <w:color w:val="2B2D42"/>
          <w:sz w:val="22"/>
        </w:rPr>
        <w:t>Frequency analysis was conducted across categorical groupings: (1) Category share: Office Supplies accounts for 6,026 transactions (60.30%), Furniture represents 2,121 transactions (21.22%), and Technology accounts for 1,847 transactions (18.48%); (2) Geographic share: West leads with 3,203 orders (32.05%), East accounts for 2,848 (28.50%), Central accounts for 2,323 (23.24%), and South accounts for 1,620 (16.21%); (3) Segment share: Consumer represents 5,191 orders (51.94%), Corporate represents 3,020 (30.22%), and Home Office represents 1,783 (17.84%); and (4) Logistics share: Standard Class is the predominant delivery choice, fulfilling 5,968 line items (59.72%).</w:t>
      </w:r>
    </w:p>
    <w:p>
      <w:pPr>
        <w:keepNext/>
        <w:spacing w:before="240" w:after="80"/>
      </w:pPr>
      <w:r>
        <w:rPr>
          <w:rFonts w:ascii="Calibri" w:hAnsi="Calibri"/>
          <w:b/>
          <w:color w:val="457B9D"/>
          <w:sz w:val="27"/>
        </w:rPr>
        <w:t>6.3 Method 5: Correlation Matrix and Association Principles</w:t>
      </w:r>
    </w:p>
    <w:p>
      <w:pPr>
        <w:spacing w:after="80" w:line="276" w:lineRule="auto"/>
      </w:pPr>
      <w:r>
        <w:rPr>
          <w:rFonts w:ascii="Calibri" w:hAnsi="Calibri"/>
          <w:color w:val="2B2D42"/>
          <w:sz w:val="22"/>
        </w:rPr>
        <w:t>Bivariate association was evaluated using both parametric Pearson correlation (linear relationship) and non-parametric Spearman rank correlation (monotonic relationship). Crucially, correlation evaluates association, not causality. An observed negative correlation between discount and profit does not mean discount inherently 'causes' profit to decrease, but rather that higher discount rates empirically co-occur with severely diminished or negative profit margins.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c>
          <w:tcPr>
            <w:tcW w:type="dxa" w:w="2160"/>
            <w:shd w:fill="1D3557"/>
            <w:tcMar>
              <w:top w:w="100" w:type="dxa"/>
              <w:bottom w:w="100" w:type="dxa"/>
              <w:left w:w="120" w:type="dxa"/>
              <w:right w:w="120" w:type="dxa"/>
            </w:tcMar>
          </w:tcPr>
          <w:p>
            <w:pPr>
              <w:jc w:val="left"/>
            </w:pPr>
            <w:r>
              <w:rPr>
                <w:rFonts w:ascii="Calibri" w:hAnsi="Calibri"/>
                <w:b/>
                <w:color w:val="FFFFFF"/>
                <w:sz w:val="19"/>
              </w:rPr>
              <w:t>Variable</w:t>
            </w:r>
          </w:p>
        </w:tc>
        <w:tc>
          <w:tcPr>
            <w:tcW w:type="dxa" w:w="1728"/>
            <w:shd w:fill="1D3557"/>
            <w:tcMar>
              <w:top w:w="100" w:type="dxa"/>
              <w:bottom w:w="100" w:type="dxa"/>
              <w:left w:w="120" w:type="dxa"/>
              <w:right w:w="120" w:type="dxa"/>
            </w:tcMar>
          </w:tcPr>
          <w:p>
            <w:pPr>
              <w:jc w:val="right"/>
            </w:pPr>
            <w:r>
              <w:rPr>
                <w:rFonts w:ascii="Calibri" w:hAnsi="Calibri"/>
                <w:b/>
                <w:color w:val="FFFFFF"/>
                <w:sz w:val="19"/>
              </w:rPr>
              <w:t>Sales ($)</w:t>
            </w:r>
          </w:p>
        </w:tc>
        <w:tc>
          <w:tcPr>
            <w:tcW w:type="dxa" w:w="1728"/>
            <w:shd w:fill="1D3557"/>
            <w:tcMar>
              <w:top w:w="100" w:type="dxa"/>
              <w:bottom w:w="100" w:type="dxa"/>
              <w:left w:w="120" w:type="dxa"/>
              <w:right w:w="120" w:type="dxa"/>
            </w:tcMar>
          </w:tcPr>
          <w:p>
            <w:pPr>
              <w:jc w:val="right"/>
            </w:pPr>
            <w:r>
              <w:rPr>
                <w:rFonts w:ascii="Calibri" w:hAnsi="Calibri"/>
                <w:b/>
                <w:color w:val="FFFFFF"/>
                <w:sz w:val="19"/>
              </w:rPr>
              <w:t>Quantity</w:t>
            </w:r>
          </w:p>
        </w:tc>
        <w:tc>
          <w:tcPr>
            <w:tcW w:type="dxa" w:w="1728"/>
            <w:shd w:fill="1D3557"/>
            <w:tcMar>
              <w:top w:w="100" w:type="dxa"/>
              <w:bottom w:w="100" w:type="dxa"/>
              <w:left w:w="120" w:type="dxa"/>
              <w:right w:w="120" w:type="dxa"/>
            </w:tcMar>
          </w:tcPr>
          <w:p>
            <w:pPr>
              <w:jc w:val="right"/>
            </w:pPr>
            <w:r>
              <w:rPr>
                <w:rFonts w:ascii="Calibri" w:hAnsi="Calibri"/>
                <w:b/>
                <w:color w:val="FFFFFF"/>
                <w:sz w:val="19"/>
              </w:rPr>
              <w:t>Discount</w:t>
            </w:r>
          </w:p>
        </w:tc>
        <w:tc>
          <w:tcPr>
            <w:tcW w:type="dxa" w:w="1728"/>
            <w:shd w:fill="1D3557"/>
            <w:tcMar>
              <w:top w:w="100" w:type="dxa"/>
              <w:bottom w:w="100" w:type="dxa"/>
              <w:left w:w="120" w:type="dxa"/>
              <w:right w:w="120" w:type="dxa"/>
            </w:tcMar>
          </w:tcPr>
          <w:p>
            <w:pPr>
              <w:jc w:val="right"/>
            </w:pPr>
            <w:r>
              <w:rPr>
                <w:rFonts w:ascii="Calibri" w:hAnsi="Calibri"/>
                <w:b/>
                <w:color w:val="FFFFFF"/>
                <w:sz w:val="19"/>
              </w:rPr>
              <w:t>Profit ($)</w:t>
            </w:r>
          </w:p>
        </w:tc>
      </w:tr>
      <w:tr>
        <w:tc>
          <w:tcPr>
            <w:tcW w:type="dxa" w:w="2160"/>
            <w:shd w:fill="FFFFFF"/>
            <w:tcMar>
              <w:top w:w="80" w:type="dxa"/>
              <w:bottom w:w="80" w:type="dxa"/>
              <w:left w:w="120" w:type="dxa"/>
              <w:right w:w="120" w:type="dxa"/>
            </w:tcMar>
          </w:tcPr>
          <w:p>
            <w:pPr>
              <w:jc w:val="left"/>
            </w:pPr>
            <w:r>
              <w:rPr>
                <w:rFonts w:ascii="Calibri" w:hAnsi="Calibri"/>
                <w:color w:val="2B2D42"/>
                <w:sz w:val="18"/>
              </w:rPr>
              <w:t>Sales ($)</w:t>
            </w:r>
          </w:p>
        </w:tc>
        <w:tc>
          <w:tcPr>
            <w:tcW w:type="dxa" w:w="1728"/>
            <w:shd w:fill="FFFFFF"/>
            <w:tcMar>
              <w:top w:w="80" w:type="dxa"/>
              <w:bottom w:w="80" w:type="dxa"/>
              <w:left w:w="120" w:type="dxa"/>
              <w:right w:w="120" w:type="dxa"/>
            </w:tcMar>
          </w:tcPr>
          <w:p>
            <w:pPr>
              <w:jc w:val="right"/>
            </w:pPr>
            <w:r>
              <w:rPr>
                <w:rFonts w:ascii="Calibri" w:hAnsi="Calibri"/>
                <w:color w:val="2B2D42"/>
                <w:sz w:val="18"/>
              </w:rPr>
              <w:t>1.0000</w:t>
            </w:r>
          </w:p>
        </w:tc>
        <w:tc>
          <w:tcPr>
            <w:tcW w:type="dxa" w:w="1728"/>
            <w:shd w:fill="FFFFFF"/>
            <w:tcMar>
              <w:top w:w="80" w:type="dxa"/>
              <w:bottom w:w="80" w:type="dxa"/>
              <w:left w:w="120" w:type="dxa"/>
              <w:right w:w="120" w:type="dxa"/>
            </w:tcMar>
          </w:tcPr>
          <w:p>
            <w:pPr>
              <w:jc w:val="right"/>
            </w:pPr>
            <w:r>
              <w:rPr>
                <w:rFonts w:ascii="Calibri" w:hAnsi="Calibri"/>
                <w:color w:val="2B2D42"/>
                <w:sz w:val="18"/>
              </w:rPr>
              <w:t>0.2008</w:t>
            </w:r>
          </w:p>
        </w:tc>
        <w:tc>
          <w:tcPr>
            <w:tcW w:type="dxa" w:w="1728"/>
            <w:shd w:fill="FFFFFF"/>
            <w:tcMar>
              <w:top w:w="80" w:type="dxa"/>
              <w:bottom w:w="80" w:type="dxa"/>
              <w:left w:w="120" w:type="dxa"/>
              <w:right w:w="120" w:type="dxa"/>
            </w:tcMar>
          </w:tcPr>
          <w:p>
            <w:pPr>
              <w:jc w:val="right"/>
            </w:pPr>
            <w:r>
              <w:rPr>
                <w:rFonts w:ascii="Calibri" w:hAnsi="Calibri"/>
                <w:color w:val="2B2D42"/>
                <w:sz w:val="18"/>
              </w:rPr>
              <w:t>-0.0282</w:t>
            </w:r>
          </w:p>
        </w:tc>
        <w:tc>
          <w:tcPr>
            <w:tcW w:type="dxa" w:w="1728"/>
            <w:shd w:fill="FFFFFF"/>
            <w:tcMar>
              <w:top w:w="80" w:type="dxa"/>
              <w:bottom w:w="80" w:type="dxa"/>
              <w:left w:w="120" w:type="dxa"/>
              <w:right w:w="120" w:type="dxa"/>
            </w:tcMar>
          </w:tcPr>
          <w:p>
            <w:pPr>
              <w:jc w:val="right"/>
            </w:pPr>
            <w:r>
              <w:rPr>
                <w:rFonts w:ascii="Calibri" w:hAnsi="Calibri"/>
                <w:color w:val="2B2D42"/>
                <w:sz w:val="18"/>
              </w:rPr>
              <w:t>0.4791</w:t>
            </w:r>
          </w:p>
        </w:tc>
      </w:tr>
      <w:tr>
        <w:tc>
          <w:tcPr>
            <w:tcW w:type="dxa" w:w="2160"/>
            <w:shd w:fill="F8F9FA"/>
            <w:tcMar>
              <w:top w:w="80" w:type="dxa"/>
              <w:bottom w:w="80" w:type="dxa"/>
              <w:left w:w="120" w:type="dxa"/>
              <w:right w:w="120" w:type="dxa"/>
            </w:tcMar>
          </w:tcPr>
          <w:p>
            <w:pPr>
              <w:jc w:val="left"/>
            </w:pPr>
            <w:r>
              <w:rPr>
                <w:rFonts w:ascii="Calibri" w:hAnsi="Calibri"/>
                <w:color w:val="2B2D42"/>
                <w:sz w:val="18"/>
              </w:rPr>
              <w:t>Quantity (Units)</w:t>
            </w:r>
          </w:p>
        </w:tc>
        <w:tc>
          <w:tcPr>
            <w:tcW w:type="dxa" w:w="1728"/>
            <w:shd w:fill="F8F9FA"/>
            <w:tcMar>
              <w:top w:w="80" w:type="dxa"/>
              <w:bottom w:w="80" w:type="dxa"/>
              <w:left w:w="120" w:type="dxa"/>
              <w:right w:w="120" w:type="dxa"/>
            </w:tcMar>
          </w:tcPr>
          <w:p>
            <w:pPr>
              <w:jc w:val="right"/>
            </w:pPr>
            <w:r>
              <w:rPr>
                <w:rFonts w:ascii="Calibri" w:hAnsi="Calibri"/>
                <w:color w:val="2B2D42"/>
                <w:sz w:val="18"/>
              </w:rPr>
              <w:t>0.2008</w:t>
            </w:r>
          </w:p>
        </w:tc>
        <w:tc>
          <w:tcPr>
            <w:tcW w:type="dxa" w:w="1728"/>
            <w:shd w:fill="F8F9FA"/>
            <w:tcMar>
              <w:top w:w="80" w:type="dxa"/>
              <w:bottom w:w="80" w:type="dxa"/>
              <w:left w:w="120" w:type="dxa"/>
              <w:right w:w="120" w:type="dxa"/>
            </w:tcMar>
          </w:tcPr>
          <w:p>
            <w:pPr>
              <w:jc w:val="right"/>
            </w:pPr>
            <w:r>
              <w:rPr>
                <w:rFonts w:ascii="Calibri" w:hAnsi="Calibri"/>
                <w:color w:val="2B2D42"/>
                <w:sz w:val="18"/>
              </w:rPr>
              <w:t>1.0000</w:t>
            </w:r>
          </w:p>
        </w:tc>
        <w:tc>
          <w:tcPr>
            <w:tcW w:type="dxa" w:w="1728"/>
            <w:shd w:fill="F8F9FA"/>
            <w:tcMar>
              <w:top w:w="80" w:type="dxa"/>
              <w:bottom w:w="80" w:type="dxa"/>
              <w:left w:w="120" w:type="dxa"/>
              <w:right w:w="120" w:type="dxa"/>
            </w:tcMar>
          </w:tcPr>
          <w:p>
            <w:pPr>
              <w:jc w:val="right"/>
            </w:pPr>
            <w:r>
              <w:rPr>
                <w:rFonts w:ascii="Calibri" w:hAnsi="Calibri"/>
                <w:color w:val="2B2D42"/>
                <w:sz w:val="18"/>
              </w:rPr>
              <w:t>0.0084</w:t>
            </w:r>
          </w:p>
        </w:tc>
        <w:tc>
          <w:tcPr>
            <w:tcW w:type="dxa" w:w="1728"/>
            <w:shd w:fill="F8F9FA"/>
            <w:tcMar>
              <w:top w:w="80" w:type="dxa"/>
              <w:bottom w:w="80" w:type="dxa"/>
              <w:left w:w="120" w:type="dxa"/>
              <w:right w:w="120" w:type="dxa"/>
            </w:tcMar>
          </w:tcPr>
          <w:p>
            <w:pPr>
              <w:jc w:val="right"/>
            </w:pPr>
            <w:r>
              <w:rPr>
                <w:rFonts w:ascii="Calibri" w:hAnsi="Calibri"/>
                <w:color w:val="2B2D42"/>
                <w:sz w:val="18"/>
              </w:rPr>
              <w:t>0.0663</w:t>
            </w:r>
          </w:p>
        </w:tc>
      </w:tr>
      <w:tr>
        <w:tc>
          <w:tcPr>
            <w:tcW w:type="dxa" w:w="2160"/>
            <w:shd w:fill="FFFFFF"/>
            <w:tcMar>
              <w:top w:w="80" w:type="dxa"/>
              <w:bottom w:w="80" w:type="dxa"/>
              <w:left w:w="120" w:type="dxa"/>
              <w:right w:w="120" w:type="dxa"/>
            </w:tcMar>
          </w:tcPr>
          <w:p>
            <w:pPr>
              <w:jc w:val="left"/>
            </w:pPr>
            <w:r>
              <w:rPr>
                <w:rFonts w:ascii="Calibri" w:hAnsi="Calibri"/>
                <w:color w:val="2B2D42"/>
                <w:sz w:val="18"/>
              </w:rPr>
              <w:t>Discount (Rate)</w:t>
            </w:r>
          </w:p>
        </w:tc>
        <w:tc>
          <w:tcPr>
            <w:tcW w:type="dxa" w:w="1728"/>
            <w:shd w:fill="FFFFFF"/>
            <w:tcMar>
              <w:top w:w="80" w:type="dxa"/>
              <w:bottom w:w="80" w:type="dxa"/>
              <w:left w:w="120" w:type="dxa"/>
              <w:right w:w="120" w:type="dxa"/>
            </w:tcMar>
          </w:tcPr>
          <w:p>
            <w:pPr>
              <w:jc w:val="right"/>
            </w:pPr>
            <w:r>
              <w:rPr>
                <w:rFonts w:ascii="Calibri" w:hAnsi="Calibri"/>
                <w:color w:val="2B2D42"/>
                <w:sz w:val="18"/>
              </w:rPr>
              <w:t>-0.0282</w:t>
            </w:r>
          </w:p>
        </w:tc>
        <w:tc>
          <w:tcPr>
            <w:tcW w:type="dxa" w:w="1728"/>
            <w:shd w:fill="FFFFFF"/>
            <w:tcMar>
              <w:top w:w="80" w:type="dxa"/>
              <w:bottom w:w="80" w:type="dxa"/>
              <w:left w:w="120" w:type="dxa"/>
              <w:right w:w="120" w:type="dxa"/>
            </w:tcMar>
          </w:tcPr>
          <w:p>
            <w:pPr>
              <w:jc w:val="right"/>
            </w:pPr>
            <w:r>
              <w:rPr>
                <w:rFonts w:ascii="Calibri" w:hAnsi="Calibri"/>
                <w:color w:val="2B2D42"/>
                <w:sz w:val="18"/>
              </w:rPr>
              <w:t>0.0084</w:t>
            </w:r>
          </w:p>
        </w:tc>
        <w:tc>
          <w:tcPr>
            <w:tcW w:type="dxa" w:w="1728"/>
            <w:shd w:fill="FFFFFF"/>
            <w:tcMar>
              <w:top w:w="80" w:type="dxa"/>
              <w:bottom w:w="80" w:type="dxa"/>
              <w:left w:w="120" w:type="dxa"/>
              <w:right w:w="120" w:type="dxa"/>
            </w:tcMar>
          </w:tcPr>
          <w:p>
            <w:pPr>
              <w:jc w:val="right"/>
            </w:pPr>
            <w:r>
              <w:rPr>
                <w:rFonts w:ascii="Calibri" w:hAnsi="Calibri"/>
                <w:color w:val="2B2D42"/>
                <w:sz w:val="18"/>
              </w:rPr>
              <w:t>1.0000</w:t>
            </w:r>
          </w:p>
        </w:tc>
        <w:tc>
          <w:tcPr>
            <w:tcW w:type="dxa" w:w="1728"/>
            <w:shd w:fill="FFFFFF"/>
            <w:tcMar>
              <w:top w:w="80" w:type="dxa"/>
              <w:bottom w:w="80" w:type="dxa"/>
              <w:left w:w="120" w:type="dxa"/>
              <w:right w:w="120" w:type="dxa"/>
            </w:tcMar>
          </w:tcPr>
          <w:p>
            <w:pPr>
              <w:jc w:val="right"/>
            </w:pPr>
            <w:r>
              <w:rPr>
                <w:rFonts w:ascii="Calibri" w:hAnsi="Calibri"/>
                <w:color w:val="2B2D42"/>
                <w:sz w:val="18"/>
              </w:rPr>
              <w:t>-0.2195</w:t>
            </w:r>
          </w:p>
        </w:tc>
      </w:tr>
      <w:tr>
        <w:tc>
          <w:tcPr>
            <w:tcW w:type="dxa" w:w="2160"/>
            <w:shd w:fill="F8F9FA"/>
            <w:tcMar>
              <w:top w:w="80" w:type="dxa"/>
              <w:bottom w:w="80" w:type="dxa"/>
              <w:left w:w="120" w:type="dxa"/>
              <w:right w:w="120" w:type="dxa"/>
            </w:tcMar>
          </w:tcPr>
          <w:p>
            <w:pPr>
              <w:jc w:val="left"/>
            </w:pPr>
            <w:r>
              <w:rPr>
                <w:rFonts w:ascii="Calibri" w:hAnsi="Calibri"/>
                <w:color w:val="2B2D42"/>
                <w:sz w:val="18"/>
              </w:rPr>
              <w:t>Profit ($)</w:t>
            </w:r>
          </w:p>
        </w:tc>
        <w:tc>
          <w:tcPr>
            <w:tcW w:type="dxa" w:w="1728"/>
            <w:shd w:fill="F8F9FA"/>
            <w:tcMar>
              <w:top w:w="80" w:type="dxa"/>
              <w:bottom w:w="80" w:type="dxa"/>
              <w:left w:w="120" w:type="dxa"/>
              <w:right w:w="120" w:type="dxa"/>
            </w:tcMar>
          </w:tcPr>
          <w:p>
            <w:pPr>
              <w:jc w:val="right"/>
            </w:pPr>
            <w:r>
              <w:rPr>
                <w:rFonts w:ascii="Calibri" w:hAnsi="Calibri"/>
                <w:color w:val="2B2D42"/>
                <w:sz w:val="18"/>
              </w:rPr>
              <w:t>0.4791</w:t>
            </w:r>
          </w:p>
        </w:tc>
        <w:tc>
          <w:tcPr>
            <w:tcW w:type="dxa" w:w="1728"/>
            <w:shd w:fill="F8F9FA"/>
            <w:tcMar>
              <w:top w:w="80" w:type="dxa"/>
              <w:bottom w:w="80" w:type="dxa"/>
              <w:left w:w="120" w:type="dxa"/>
              <w:right w:w="120" w:type="dxa"/>
            </w:tcMar>
          </w:tcPr>
          <w:p>
            <w:pPr>
              <w:jc w:val="right"/>
            </w:pPr>
            <w:r>
              <w:rPr>
                <w:rFonts w:ascii="Calibri" w:hAnsi="Calibri"/>
                <w:color w:val="2B2D42"/>
                <w:sz w:val="18"/>
              </w:rPr>
              <w:t>0.0663</w:t>
            </w:r>
          </w:p>
        </w:tc>
        <w:tc>
          <w:tcPr>
            <w:tcW w:type="dxa" w:w="1728"/>
            <w:shd w:fill="F8F9FA"/>
            <w:tcMar>
              <w:top w:w="80" w:type="dxa"/>
              <w:bottom w:w="80" w:type="dxa"/>
              <w:left w:w="120" w:type="dxa"/>
              <w:right w:w="120" w:type="dxa"/>
            </w:tcMar>
          </w:tcPr>
          <w:p>
            <w:pPr>
              <w:jc w:val="right"/>
            </w:pPr>
            <w:r>
              <w:rPr>
                <w:rFonts w:ascii="Calibri" w:hAnsi="Calibri"/>
                <w:color w:val="2B2D42"/>
                <w:sz w:val="18"/>
              </w:rPr>
              <w:t>-0.2195</w:t>
            </w:r>
          </w:p>
        </w:tc>
        <w:tc>
          <w:tcPr>
            <w:tcW w:type="dxa" w:w="1728"/>
            <w:shd w:fill="F8F9FA"/>
            <w:tcMar>
              <w:top w:w="80" w:type="dxa"/>
              <w:bottom w:w="80" w:type="dxa"/>
              <w:left w:w="120" w:type="dxa"/>
              <w:right w:w="120" w:type="dxa"/>
            </w:tcMar>
          </w:tcPr>
          <w:p>
            <w:pPr>
              <w:jc w:val="right"/>
            </w:pPr>
            <w:r>
              <w:rPr>
                <w:rFonts w:ascii="Calibri" w:hAnsi="Calibri"/>
                <w:color w:val="2B2D42"/>
                <w:sz w:val="18"/>
              </w:rPr>
              <w:t>1.0000</w:t>
            </w:r>
          </w:p>
        </w:tc>
      </w:tr>
    </w:tbl>
    <w:p>
      <w:pPr>
        <w:spacing w:after="80"/>
      </w:pPr>
    </w:p>
    <w:p>
      <w:pPr>
        <w:spacing w:after="80" w:line="276" w:lineRule="auto"/>
      </w:pPr>
      <w:r>
        <w:rPr>
          <w:rFonts w:ascii="Calibri" w:hAnsi="Calibri"/>
          <w:color w:val="2B2D42"/>
          <w:sz w:val="22"/>
        </w:rPr>
        <w:t>The Pearson correlation between Discount and Profit is r = -0.2195, while the Spearman rank correlation is r_s = -0.5434. The substantially stronger rank correlation reveals a powerful non-linear monotonic deterioration: as promotional discounting increases, transaction profitability steadily collapses across ranks.</w:t>
      </w:r>
    </w:p>
    <w:p>
      <w:r>
        <w:br w:type="page"/>
      </w:r>
    </w:p>
    <w:p>
      <w:pPr>
        <w:keepNext/>
        <w:spacing w:before="320" w:after="120"/>
      </w:pPr>
      <w:r>
        <w:rPr>
          <w:rFonts w:ascii="Calibri" w:hAnsi="Calibri"/>
          <w:b/>
          <w:color w:val="1D3557"/>
          <w:sz w:val="34"/>
        </w:rPr>
        <w:t>7. VISUALIZATION DESIGN PRINCIPLES &amp; COLOR STRATEGY</w:t>
      </w:r>
    </w:p>
    <w:p>
      <w:pPr>
        <w:keepNext/>
        <w:spacing w:before="240" w:after="80"/>
      </w:pPr>
      <w:r>
        <w:rPr>
          <w:rFonts w:ascii="Calibri" w:hAnsi="Calibri"/>
          <w:b/>
          <w:color w:val="457B9D"/>
          <w:sz w:val="27"/>
        </w:rPr>
        <w:t>7.1 Declarative Grammar of Graphics Architecture</w:t>
      </w:r>
    </w:p>
    <w:p>
      <w:pPr>
        <w:spacing w:after="80" w:line="276" w:lineRule="auto"/>
      </w:pPr>
      <w:r>
        <w:rPr>
          <w:rFonts w:ascii="Calibri" w:hAnsi="Calibri"/>
          <w:color w:val="2B2D42"/>
          <w:sz w:val="22"/>
        </w:rPr>
        <w:t>All visual assets in this report were developed adhering to the Grammar of Graphics framework operationalized in ggplot2. The architecture decouples the underlying analytical data from its geometric representation, aesthetic encodings, and coordinate systems. Every visualization is constructed with purposeful aesthetic mappings:</w:t>
      </w:r>
    </w:p>
    <w:p>
      <w:pPr>
        <w:pStyle w:val="ListBullet"/>
        <w:spacing w:after="60" w:line="276" w:lineRule="auto"/>
      </w:pPr>
      <w:r>
        <w:rPr>
          <w:rFonts w:ascii="Calibri" w:hAnsi="Calibri"/>
          <w:b/>
          <w:color w:val="1D3557"/>
          <w:sz w:val="22"/>
        </w:rPr>
        <w:t xml:space="preserve">Discrete Comparisons: </w:t>
      </w:r>
      <w:r>
        <w:rPr>
          <w:rFonts w:ascii="Calibri" w:hAnsi="Calibri"/>
          <w:color w:val="2B2D42"/>
          <w:sz w:val="22"/>
        </w:rPr>
        <w:t>Bar &amp; Column Charts (geom_col): Deployed for categorical comparisons (Category sales, Sub-category profits, Regional volumes). Categories are strictly ordered by magnitude (via reorder() and forcats::fct_reorder) rather than arbitrary alphabetical ordering.</w:t>
      </w:r>
    </w:p>
    <w:p>
      <w:pPr>
        <w:pStyle w:val="ListBullet"/>
        <w:spacing w:after="60" w:line="276" w:lineRule="auto"/>
      </w:pPr>
      <w:r>
        <w:rPr>
          <w:rFonts w:ascii="Calibri" w:hAnsi="Calibri"/>
          <w:b/>
          <w:color w:val="1D3557"/>
          <w:sz w:val="22"/>
        </w:rPr>
        <w:t xml:space="preserve">Distributional Shape: </w:t>
      </w:r>
      <w:r>
        <w:rPr>
          <w:rFonts w:ascii="Calibri" w:hAnsi="Calibri"/>
          <w:color w:val="2B2D42"/>
          <w:sz w:val="22"/>
        </w:rPr>
        <w:t>Histograms (geom_histogram): Selected for univariate density exploration. Bin widths are tuned to prevent artificial grouping artifacts, and log-transformations (scale_x_log10) are applied where positive skewness spans multiple orders of magnitude.</w:t>
      </w:r>
    </w:p>
    <w:p>
      <w:pPr>
        <w:pStyle w:val="ListBullet"/>
        <w:spacing w:after="60" w:line="276" w:lineRule="auto"/>
      </w:pPr>
      <w:r>
        <w:rPr>
          <w:rFonts w:ascii="Calibri" w:hAnsi="Calibri"/>
          <w:b/>
          <w:color w:val="1D3557"/>
          <w:sz w:val="22"/>
        </w:rPr>
        <w:t xml:space="preserve">Bivariate Associations: </w:t>
      </w:r>
      <w:r>
        <w:rPr>
          <w:rFonts w:ascii="Calibri" w:hAnsi="Calibri"/>
          <w:color w:val="2B2D42"/>
          <w:sz w:val="22"/>
        </w:rPr>
        <w:t>Scatter Plots (geom_point): Utilized for bivariate relationship discovery (Sales vs Profit, Discount vs Profit). Alpha transparency (0.35–0.45) is systematically incorporated to resolve visual overplotting across 9,994 points.</w:t>
      </w:r>
    </w:p>
    <w:p>
      <w:pPr>
        <w:pStyle w:val="ListBullet"/>
        <w:spacing w:after="60" w:line="276" w:lineRule="auto"/>
      </w:pPr>
      <w:r>
        <w:rPr>
          <w:rFonts w:ascii="Calibri" w:hAnsi="Calibri"/>
          <w:b/>
          <w:color w:val="1D3557"/>
          <w:sz w:val="22"/>
        </w:rPr>
        <w:t xml:space="preserve">Temporal Trajectories: </w:t>
      </w:r>
      <w:r>
        <w:rPr>
          <w:rFonts w:ascii="Calibri" w:hAnsi="Calibri"/>
          <w:color w:val="2B2D42"/>
          <w:sz w:val="22"/>
        </w:rPr>
        <w:t>Line Charts (geom_line, geom_point): Reserved for continuous chronological time series. Date axes are formatted with clean quarterly intervals, paired with non-parametric LOESS smoothing curves to display underlying multi-year momentum.</w:t>
      </w:r>
    </w:p>
    <w:p>
      <w:pPr>
        <w:pStyle w:val="ListBullet"/>
        <w:spacing w:after="60" w:line="276" w:lineRule="auto"/>
      </w:pPr>
      <w:r>
        <w:rPr>
          <w:rFonts w:ascii="Calibri" w:hAnsi="Calibri"/>
          <w:b/>
          <w:color w:val="1D3557"/>
          <w:sz w:val="22"/>
        </w:rPr>
        <w:t xml:space="preserve">Quartile Dispersions: </w:t>
      </w:r>
      <w:r>
        <w:rPr>
          <w:rFonts w:ascii="Calibri" w:hAnsi="Calibri"/>
          <w:color w:val="2B2D42"/>
          <w:sz w:val="22"/>
        </w:rPr>
        <w:t>Box Plots (geom_boxplot): Deployed to display non-parametric summary statistics (median, IQR, whiskers, and outlier points), contrasting quartile spreads across categories and logistics tiers.</w:t>
      </w:r>
    </w:p>
    <w:p>
      <w:pPr>
        <w:keepNext/>
        <w:spacing w:before="240" w:after="80"/>
      </w:pPr>
      <w:r>
        <w:rPr>
          <w:rFonts w:ascii="Calibri" w:hAnsi="Calibri"/>
          <w:b/>
          <w:color w:val="457B9D"/>
          <w:sz w:val="27"/>
        </w:rPr>
        <w:t>7.2 Accessible Corporate Color Strategy</w:t>
      </w:r>
    </w:p>
    <w:p>
      <w:pPr>
        <w:spacing w:after="80" w:line="276" w:lineRule="auto"/>
      </w:pPr>
      <w:r>
        <w:rPr>
          <w:rFonts w:ascii="Calibri" w:hAnsi="Calibri"/>
          <w:color w:val="2B2D42"/>
          <w:sz w:val="22"/>
        </w:rPr>
        <w:t>To ensure executive legibility and print reproducibility, a restrained corporate color palette was maintained across all figures:</w:t>
      </w:r>
    </w:p>
    <w:p>
      <w:pPr>
        <w:pStyle w:val="ListBullet"/>
        <w:spacing w:after="60" w:line="276" w:lineRule="auto"/>
      </w:pPr>
      <w:r>
        <w:rPr>
          <w:rFonts w:ascii="Calibri" w:hAnsi="Calibri"/>
          <w:b/>
          <w:color w:val="1D3557"/>
          <w:sz w:val="22"/>
        </w:rPr>
        <w:t xml:space="preserve">Structural Baseline: </w:t>
      </w:r>
      <w:r>
        <w:rPr>
          <w:rFonts w:ascii="Calibri" w:hAnsi="Calibri"/>
          <w:color w:val="2B2D42"/>
          <w:sz w:val="22"/>
        </w:rPr>
        <w:t>Primary Corporate Palette: Deep Corporate Navy (#1D3557) and Slate Blue (#457B9D) for baseline structural bars, trendlines, and primary accents.</w:t>
      </w:r>
    </w:p>
    <w:p>
      <w:pPr>
        <w:pStyle w:val="ListBullet"/>
        <w:spacing w:after="60" w:line="276" w:lineRule="auto"/>
      </w:pPr>
      <w:r>
        <w:rPr>
          <w:rFonts w:ascii="Calibri" w:hAnsi="Calibri"/>
          <w:b/>
          <w:color w:val="1D3557"/>
          <w:sz w:val="22"/>
        </w:rPr>
        <w:t xml:space="preserve">Categorical Encoding: </w:t>
      </w:r>
      <w:r>
        <w:rPr>
          <w:rFonts w:ascii="Calibri" w:hAnsi="Calibri"/>
          <w:color w:val="2B2D42"/>
          <w:sz w:val="22"/>
        </w:rPr>
        <w:t>Merchandise Category Palette: Furniture is mapped to Warm Terracotta (#E07A5F), Office Supplies to Corporate Blue (#3D5A80), and Technology to Slate Teal (#2B7A78). These colors remain consistent across all charts.</w:t>
      </w:r>
    </w:p>
    <w:p>
      <w:pPr>
        <w:pStyle w:val="ListBullet"/>
        <w:spacing w:after="60" w:line="276" w:lineRule="auto"/>
      </w:pPr>
      <w:r>
        <w:rPr>
          <w:rFonts w:ascii="Calibri" w:hAnsi="Calibri"/>
          <w:b/>
          <w:color w:val="1D3557"/>
          <w:sz w:val="22"/>
        </w:rPr>
        <w:t xml:space="preserve">Financial Polarity: </w:t>
      </w:r>
      <w:r>
        <w:rPr>
          <w:rFonts w:ascii="Calibri" w:hAnsi="Calibri"/>
          <w:color w:val="2B2D42"/>
          <w:sz w:val="22"/>
        </w:rPr>
        <w:t>Diverging Financial Scale: Profitable transactions and surplus metrics are encoded in Forest Emerald / Teal (#2A9D8F), while commercial losses and deficit margins are encoded in Soft Crimson (#D90429).</w:t>
      </w:r>
    </w:p>
    <w:p>
      <w:pPr>
        <w:keepNext/>
        <w:spacing w:before="240" w:after="80"/>
      </w:pPr>
      <w:r>
        <w:rPr>
          <w:rFonts w:ascii="Calibri" w:hAnsi="Calibri"/>
          <w:b/>
          <w:color w:val="457B9D"/>
          <w:sz w:val="27"/>
        </w:rPr>
        <w:t>7.3 Chart Export &amp; Quality Standards</w:t>
      </w:r>
    </w:p>
    <w:p>
      <w:pPr>
        <w:spacing w:after="80" w:line="276" w:lineRule="auto"/>
      </w:pPr>
      <w:r>
        <w:rPr>
          <w:rFonts w:ascii="Calibri" w:hAnsi="Calibri"/>
          <w:color w:val="2B2D42"/>
          <w:sz w:val="22"/>
        </w:rPr>
        <w:t>All figures were exported via ggsave() at 300 DPI resolution with standard 10 × 6 inch dimensions. Font scaling, axis label padding, currency prefixes ($), percentage formats (%), and descriptive subtitles were standardized to ensure publication-ready legibility without margin clipping or text collisions.</w:t>
      </w:r>
    </w:p>
    <w:p>
      <w:r>
        <w:br w:type="page"/>
      </w:r>
    </w:p>
    <w:p>
      <w:pPr>
        <w:keepNext/>
        <w:spacing w:before="320" w:after="120"/>
      </w:pPr>
      <w:r>
        <w:rPr>
          <w:rFonts w:ascii="Calibri" w:hAnsi="Calibri"/>
          <w:b/>
          <w:color w:val="1D3557"/>
          <w:sz w:val="34"/>
        </w:rPr>
        <w:t>8. VISUALIZATION 1: TOTAL SALES REVENUE BY CATEGORY</w:t>
      </w:r>
    </w:p>
    <w:p>
      <w:pPr>
        <w:keepNext/>
        <w:spacing w:before="240" w:after="80"/>
      </w:pPr>
      <w:r>
        <w:rPr>
          <w:rFonts w:ascii="Calibri" w:hAnsi="Calibri"/>
          <w:b/>
          <w:color w:val="457B9D"/>
          <w:sz w:val="27"/>
        </w:rPr>
        <w:t>A. Purpose &amp; Analytical Question</w:t>
      </w:r>
    </w:p>
    <w:p>
      <w:pPr>
        <w:spacing w:after="80" w:line="276" w:lineRule="auto"/>
      </w:pPr>
      <w:r>
        <w:rPr>
          <w:rFonts w:ascii="Calibri" w:hAnsi="Calibri"/>
          <w:color w:val="2B2D42"/>
          <w:sz w:val="22"/>
        </w:rPr>
        <w:t>Which major product categories generate the highest total sales revenue across the enterprise? (RQ1)</w:t>
      </w:r>
    </w:p>
    <w:p>
      <w:pPr>
        <w:keepNext/>
        <w:spacing w:before="240" w:after="80"/>
      </w:pPr>
      <w:r>
        <w:rPr>
          <w:rFonts w:ascii="Calibri" w:hAnsi="Calibri"/>
          <w:b/>
          <w:color w:val="457B9D"/>
          <w:sz w:val="27"/>
        </w:rPr>
        <w:t>B. Variables Represented</w:t>
      </w:r>
    </w:p>
    <w:p>
      <w:pPr>
        <w:spacing w:after="80" w:line="276" w:lineRule="auto"/>
      </w:pPr>
      <w:r>
        <w:rPr>
          <w:rFonts w:ascii="Calibri" w:hAnsi="Calibri"/>
          <w:color w:val="2B2D42"/>
          <w:sz w:val="22"/>
        </w:rPr>
        <w:t>Category (Discrete categorical factor: Furniture, Office Supplies, Technology) and Total Sales (Continuous financial metric in USD).</w:t>
      </w:r>
    </w:p>
    <w:p>
      <w:pPr>
        <w:keepNext/>
        <w:spacing w:before="240" w:after="80"/>
      </w:pPr>
      <w:r>
        <w:rPr>
          <w:rFonts w:ascii="Calibri" w:hAnsi="Calibri"/>
          <w:b/>
          <w:color w:val="457B9D"/>
          <w:sz w:val="27"/>
        </w:rPr>
        <w:t>C. Aggregation Methodology</w:t>
      </w:r>
    </w:p>
    <w:p>
      <w:pPr>
        <w:spacing w:after="80" w:line="276" w:lineRule="auto"/>
      </w:pPr>
      <w:r>
        <w:rPr>
          <w:rFonts w:ascii="Calibri" w:hAnsi="Calibri"/>
          <w:color w:val="2B2D42"/>
          <w:sz w:val="22"/>
        </w:rPr>
        <w:t>Transactions were grouped by Category and aggregated using sum(Sales). Share of total sales was calculated as Total_Sales / sum(Total_Sales) * 100.</w:t>
      </w:r>
    </w:p>
    <w:p>
      <w:pPr>
        <w:keepNext/>
        <w:spacing w:before="240" w:after="80"/>
      </w:pPr>
      <w:r>
        <w:rPr>
          <w:rFonts w:ascii="Calibri" w:hAnsi="Calibri"/>
          <w:b/>
          <w:color w:val="457B9D"/>
          <w:sz w:val="27"/>
        </w:rPr>
        <w:t>D. R Code Implementation</w:t>
      </w:r>
    </w:p>
    <w:tbl>
      <w:tblPr>
        <w:tblW w:type="auto" w:w="0"/>
        <w:jc w:val="center"/>
        <w:tblLook w:firstColumn="1" w:firstRow="1" w:lastColumn="0" w:lastRow="0" w:noHBand="0" w:noVBand="1" w:val="04A0"/>
      </w:tblPr>
      <w:tblGrid>
        <w:gridCol w:w="9360"/>
      </w:tblGrid>
      <w:tr>
        <w:tc>
          <w:tcPr>
            <w:tcW w:type="dxa" w:w="9360"/>
            <w:shd w:fill="F4F4F6"/>
            <w:tcMar>
              <w:top w:w="100" w:type="dxa"/>
              <w:bottom w:w="100" w:type="dxa"/>
              <w:left w:w="150" w:type="dxa"/>
              <w:right w:w="150" w:type="dxa"/>
            </w:tcMar>
            <w:tcBorders>
              <w:top w:val="single" w:sz="4" w:color="D3D3D3"/>
              <w:left w:val="single" w:sz="18" w:color="457B9D"/>
              <w:bottom w:val="single" w:sz="4" w:color="D3D3D3"/>
              <w:right w:val="single" w:sz="4" w:color="D3D3D3"/>
            </w:tcBorders>
          </w:tcPr>
          <w:p>
            <w:pPr>
              <w:spacing w:after="0" w:line="252" w:lineRule="auto"/>
            </w:pPr>
            <w:r>
              <w:rPr>
                <w:rFonts w:ascii="Consolas" w:hAnsi="Consolas"/>
                <w:color w:val="1E293B"/>
                <w:sz w:val="18"/>
              </w:rPr>
              <w:t># Visualization 1 R Code</w:t>
              <w:br/>
              <w:t>p1 &lt;- ggplot(sales_cat_data, aes(x = reorder(Category, Total_Sales), y = Total_Sales, fill = Category)) +</w:t>
              <w:br/>
              <w:t xml:space="preserve">  geom_col(width = 0.65, show.legend = FALSE) +</w:t>
              <w:br/>
              <w:t xml:space="preserve">  geom_text(aes(label = paste0(Sales_Label, " (", Share_Pct, ")")), hjust = -0.15, fontface = "bold") +</w:t>
              <w:br/>
              <w:t xml:space="preserve">  coord_flip() +</w:t>
              <w:br/>
              <w:t xml:space="preserve">  scale_y_continuous(labels = dollar_format(prefix = "$", scale = 1e-3, suffix = "K"), expand = expansion(mult = c(0, 0.22))) +</w:t>
              <w:br/>
              <w:t xml:space="preserve">  scale_fill_manual(values = superstore_palette) +</w:t>
              <w:br/>
              <w:t xml:space="preserve">  labs(title = "Visualization 1: Total Sales Revenue by Product Category",</w:t>
              <w:br/>
              <w:t xml:space="preserve">       subtitle = "Technology generates $836.2K (36.4%), closely followed by Furniture ($742.0K) and Office Supplies ($719.0K)",</w:t>
              <w:br/>
              <w:t xml:space="preserve">       x = "Product Category", y = "Total Sales Revenue (USD)") + theme_superstore()</w:t>
            </w:r>
          </w:p>
        </w:tc>
      </w:tr>
    </w:tbl>
    <w:p>
      <w:pPr>
        <w:spacing w:after="40"/>
      </w:pPr>
    </w:p>
    <w:p>
      <w:pPr>
        <w:keepNext/>
        <w:spacing w:before="240" w:after="80"/>
      </w:pPr>
      <w:r>
        <w:rPr>
          <w:rFonts w:ascii="Calibri" w:hAnsi="Calibri"/>
          <w:b/>
          <w:color w:val="457B9D"/>
          <w:sz w:val="27"/>
        </w:rPr>
        <w:t>E. Visualization Display</w:t>
      </w:r>
    </w:p>
    <w:p>
      <w:pPr>
        <w:spacing w:before="120" w:after="40"/>
        <w:jc w:val="center"/>
      </w:pPr>
      <w:r>
        <w:drawing>
          <wp:inline xmlns:a="http://schemas.openxmlformats.org/drawingml/2006/main" xmlns:pic="http://schemas.openxmlformats.org/drawingml/2006/picture">
            <wp:extent cx="5577840" cy="3346704"/>
            <wp:docPr id="1" name="Picture 1"/>
            <wp:cNvGraphicFramePr>
              <a:graphicFrameLocks noChangeAspect="1"/>
            </wp:cNvGraphicFramePr>
            <a:graphic>
              <a:graphicData uri="http://schemas.openxmlformats.org/drawingml/2006/picture">
                <pic:pic>
                  <pic:nvPicPr>
                    <pic:cNvPr id="0" name="01_sales_by_category.png"/>
                    <pic:cNvPicPr/>
                  </pic:nvPicPr>
                  <pic:blipFill>
                    <a:blip r:embed="rId10"/>
                    <a:stretch>
                      <a:fillRect/>
                    </a:stretch>
                  </pic:blipFill>
                  <pic:spPr>
                    <a:xfrm>
                      <a:off x="0" y="0"/>
                      <a:ext cx="5577840" cy="3346704"/>
                    </a:xfrm>
                    <a:prstGeom prst="rect"/>
                  </pic:spPr>
                </pic:pic>
              </a:graphicData>
            </a:graphic>
          </wp:inline>
        </w:drawing>
      </w:r>
    </w:p>
    <w:p>
      <w:pPr>
        <w:spacing w:after="160"/>
        <w:jc w:val="center"/>
      </w:pPr>
      <w:r>
        <w:rPr>
          <w:rFonts w:ascii="Calibri" w:hAnsi="Calibri"/>
          <w:i/>
          <w:color w:val="6C757D"/>
          <w:sz w:val="19"/>
        </w:rPr>
        <w:t>Figure 1: Cumulative gross sales revenue by product category (2011–2014).</w:t>
      </w:r>
    </w:p>
    <w:p>
      <w:pPr>
        <w:keepNext/>
        <w:spacing w:before="240" w:after="80"/>
      </w:pPr>
      <w:r>
        <w:rPr>
          <w:rFonts w:ascii="Calibri" w:hAnsi="Calibri"/>
          <w:b/>
          <w:color w:val="457B9D"/>
          <w:sz w:val="27"/>
        </w:rPr>
        <w:t>F. Visual Observations</w:t>
      </w:r>
    </w:p>
    <w:p>
      <w:pPr>
        <w:spacing w:after="80" w:line="276" w:lineRule="auto"/>
      </w:pPr>
      <w:r>
        <w:rPr>
          <w:rFonts w:ascii="Calibri" w:hAnsi="Calibri"/>
          <w:color w:val="2B2D42"/>
          <w:sz w:val="22"/>
        </w:rPr>
        <w:t>Technology anchors the top position with $836,154.03 in gross revenue, representing 36.4% of total sales. Furniture ranks second with $741,999.80 (32.3%), while Office Supplies generates $719,047.03 (31.3%). The revenue spread between the top and bottom categories is relatively narrow ($117,107, or just 5.1 percentage points).</w:t>
      </w:r>
    </w:p>
    <w:p>
      <w:pPr>
        <w:keepNext/>
        <w:spacing w:before="240" w:after="80"/>
      </w:pPr>
      <w:r>
        <w:rPr>
          <w:rFonts w:ascii="Calibri" w:hAnsi="Calibri"/>
          <w:b/>
          <w:color w:val="457B9D"/>
          <w:sz w:val="27"/>
        </w:rPr>
        <w:t>G. Empirical Interpretation</w:t>
      </w:r>
    </w:p>
    <w:p>
      <w:pPr>
        <w:spacing w:after="80" w:line="276" w:lineRule="auto"/>
      </w:pPr>
      <w:r>
        <w:rPr>
          <w:rFonts w:ascii="Calibri" w:hAnsi="Calibri"/>
          <w:color w:val="2B2D42"/>
          <w:sz w:val="22"/>
        </w:rPr>
        <w:t>Superstore maintains a highly balanced top-line revenue portfolio. No single merchandise category monopolizes enterprise sales. However, evaluating top-line sales in isolation can produce dangerous commercial complacency. While Furniture accounts for nearly one-third of all customer dollars, its profitability profile must be examined before determining its true business value.</w:t>
      </w:r>
    </w:p>
    <w:p>
      <w:pPr>
        <w:keepNext/>
        <w:spacing w:before="240" w:after="80"/>
      </w:pPr>
      <w:r>
        <w:rPr>
          <w:rFonts w:ascii="Calibri" w:hAnsi="Calibri"/>
          <w:b/>
          <w:color w:val="457B9D"/>
          <w:sz w:val="27"/>
        </w:rPr>
        <w:t>H. Key Insight</w:t>
      </w:r>
    </w:p>
    <w:p>
      <w:pPr>
        <w:spacing w:after="80" w:line="276" w:lineRule="auto"/>
      </w:pPr>
      <w:r>
        <w:rPr>
          <w:rFonts w:ascii="Calibri" w:hAnsi="Calibri"/>
          <w:color w:val="2B2D42"/>
          <w:sz w:val="22"/>
        </w:rPr>
        <w:t>Gross sales revenue is remarkably evenly distributed across all three departments, establishing a diversified top-line revenue foundation.</w:t>
      </w:r>
    </w:p>
    <w:p>
      <w:pPr>
        <w:keepNext/>
        <w:spacing w:before="240" w:after="80"/>
      </w:pPr>
      <w:r>
        <w:rPr>
          <w:rFonts w:ascii="Calibri" w:hAnsi="Calibri"/>
          <w:b/>
          <w:color w:val="457B9D"/>
          <w:sz w:val="27"/>
        </w:rPr>
        <w:t>I. Analytical Limitation</w:t>
      </w:r>
    </w:p>
    <w:p>
      <w:pPr>
        <w:spacing w:after="80" w:line="276" w:lineRule="auto"/>
      </w:pPr>
      <w:r>
        <w:rPr>
          <w:rFonts w:ascii="Calibri" w:hAnsi="Calibri"/>
          <w:color w:val="2B2D42"/>
          <w:sz w:val="22"/>
        </w:rPr>
        <w:t>This visualization measures only gross top-line volume; it provides zero information regarding operating costs, profit margins, or net capital return.</w:t>
      </w:r>
    </w:p>
    <w:p>
      <w:r>
        <w:br w:type="page"/>
      </w:r>
    </w:p>
    <w:p>
      <w:pPr>
        <w:keepNext/>
        <w:spacing w:before="320" w:after="120"/>
      </w:pPr>
      <w:r>
        <w:rPr>
          <w:rFonts w:ascii="Calibri" w:hAnsi="Calibri"/>
          <w:b/>
          <w:color w:val="1D3557"/>
          <w:sz w:val="34"/>
        </w:rPr>
        <w:t>9. VISUALIZATION 2: NET PROFIT AND PROFIT MARGIN BY CATEGORY</w:t>
      </w:r>
    </w:p>
    <w:p>
      <w:pPr>
        <w:keepNext/>
        <w:spacing w:before="240" w:after="80"/>
      </w:pPr>
      <w:r>
        <w:rPr>
          <w:rFonts w:ascii="Calibri" w:hAnsi="Calibri"/>
          <w:b/>
          <w:color w:val="457B9D"/>
          <w:sz w:val="27"/>
        </w:rPr>
        <w:t>A. Purpose &amp; Analytical Question</w:t>
      </w:r>
    </w:p>
    <w:p>
      <w:pPr>
        <w:spacing w:after="80" w:line="276" w:lineRule="auto"/>
      </w:pPr>
      <w:r>
        <w:rPr>
          <w:rFonts w:ascii="Calibri" w:hAnsi="Calibri"/>
          <w:color w:val="2B2D42"/>
          <w:sz w:val="22"/>
        </w:rPr>
        <w:t>Do the product categories that generate the highest sales volume also deliver the highest net profit? (RQ2)</w:t>
      </w:r>
    </w:p>
    <w:p>
      <w:pPr>
        <w:keepNext/>
        <w:spacing w:before="240" w:after="80"/>
      </w:pPr>
      <w:r>
        <w:rPr>
          <w:rFonts w:ascii="Calibri" w:hAnsi="Calibri"/>
          <w:b/>
          <w:color w:val="457B9D"/>
          <w:sz w:val="27"/>
        </w:rPr>
        <w:t>B. Variables Represented</w:t>
      </w:r>
    </w:p>
    <w:p>
      <w:pPr>
        <w:spacing w:after="80" w:line="276" w:lineRule="auto"/>
      </w:pPr>
      <w:r>
        <w:rPr>
          <w:rFonts w:ascii="Calibri" w:hAnsi="Calibri"/>
          <w:color w:val="2B2D42"/>
          <w:sz w:val="22"/>
        </w:rPr>
        <w:t>Category (Discrete factor), Total Net Profit (Continuous financial metric in USD), and Cumulative Profit Margin (%).</w:t>
      </w:r>
    </w:p>
    <w:p>
      <w:pPr>
        <w:keepNext/>
        <w:spacing w:before="240" w:after="80"/>
      </w:pPr>
      <w:r>
        <w:rPr>
          <w:rFonts w:ascii="Calibri" w:hAnsi="Calibri"/>
          <w:b/>
          <w:color w:val="457B9D"/>
          <w:sz w:val="27"/>
        </w:rPr>
        <w:t>C. Aggregation Methodology</w:t>
      </w:r>
    </w:p>
    <w:p>
      <w:pPr>
        <w:spacing w:after="80" w:line="276" w:lineRule="auto"/>
      </w:pPr>
      <w:r>
        <w:rPr>
          <w:rFonts w:ascii="Calibri" w:hAnsi="Calibri"/>
          <w:color w:val="2B2D42"/>
          <w:sz w:val="22"/>
        </w:rPr>
        <w:t>Aggregated using sum(Profit) and sum(Sales), with overall commercial margin computed as (sum(Profit) / sum(Sales)) * 100.</w:t>
      </w:r>
    </w:p>
    <w:p>
      <w:pPr>
        <w:keepNext/>
        <w:spacing w:before="240" w:after="80"/>
      </w:pPr>
      <w:r>
        <w:rPr>
          <w:rFonts w:ascii="Calibri" w:hAnsi="Calibri"/>
          <w:b/>
          <w:color w:val="457B9D"/>
          <w:sz w:val="27"/>
        </w:rPr>
        <w:t>D. R Code Implementation</w:t>
      </w:r>
    </w:p>
    <w:tbl>
      <w:tblPr>
        <w:tblW w:type="auto" w:w="0"/>
        <w:jc w:val="center"/>
        <w:tblLook w:firstColumn="1" w:firstRow="1" w:lastColumn="0" w:lastRow="0" w:noHBand="0" w:noVBand="1" w:val="04A0"/>
      </w:tblPr>
      <w:tblGrid>
        <w:gridCol w:w="9360"/>
      </w:tblGrid>
      <w:tr>
        <w:tc>
          <w:tcPr>
            <w:tcW w:type="dxa" w:w="9360"/>
            <w:shd w:fill="F4F4F6"/>
            <w:tcMar>
              <w:top w:w="100" w:type="dxa"/>
              <w:bottom w:w="100" w:type="dxa"/>
              <w:left w:w="150" w:type="dxa"/>
              <w:right w:w="150" w:type="dxa"/>
            </w:tcMar>
            <w:tcBorders>
              <w:top w:val="single" w:sz="4" w:color="D3D3D3"/>
              <w:left w:val="single" w:sz="18" w:color="457B9D"/>
              <w:bottom w:val="single" w:sz="4" w:color="D3D3D3"/>
              <w:right w:val="single" w:sz="4" w:color="D3D3D3"/>
            </w:tcBorders>
          </w:tcPr>
          <w:p>
            <w:pPr>
              <w:spacing w:after="0" w:line="252" w:lineRule="auto"/>
            </w:pPr>
            <w:r>
              <w:rPr>
                <w:rFonts w:ascii="Consolas" w:hAnsi="Consolas"/>
                <w:color w:val="1E293B"/>
                <w:sz w:val="18"/>
              </w:rPr>
              <w:t># Visualization 2 R Code</w:t>
              <w:br/>
              <w:t>p2 &lt;- ggplot(profit_cat_data, aes(x = reorder(Category, Total_Profit), y = Total_Profit, fill = Category)) +</w:t>
              <w:br/>
              <w:t xml:space="preserve">  geom_col(width = 0.65, show.legend = FALSE) +</w:t>
              <w:br/>
              <w:t xml:space="preserve">  geom_text(aes(label = paste0(Profit_Label, "</w:t>
              <w:br/>
              <w:t>(", Margin_Label, ")")), hjust = -0.15, fontface = "bold") +</w:t>
              <w:br/>
              <w:t xml:space="preserve">  coord_flip() +</w:t>
              <w:br/>
              <w:t xml:space="preserve">  scale_y_continuous(labels = dollar_format(prefix = "$", scale = 1e-3, suffix = "K"), expand = expansion(mult = c(0, 0.25))) +</w:t>
              <w:br/>
              <w:t xml:space="preserve">  scale_fill_manual(values = superstore_palette) +</w:t>
              <w:br/>
              <w:t xml:space="preserve">  labs(title = "Visualization 2: Total Net Profit and Profit Margin by Product Category",</w:t>
              <w:br/>
              <w:t xml:space="preserve">       subtitle = "Technology yields $145.5K (17.4% margin), whereas Furniture delivers only $18.5K (2.5% margin)",</w:t>
              <w:br/>
              <w:t xml:space="preserve">       x = "Product Category", y = "Total Net Profit (USD)") + theme_superstore()</w:t>
            </w:r>
          </w:p>
        </w:tc>
      </w:tr>
    </w:tbl>
    <w:p>
      <w:pPr>
        <w:spacing w:after="40"/>
      </w:pPr>
    </w:p>
    <w:p>
      <w:pPr>
        <w:keepNext/>
        <w:spacing w:before="240" w:after="80"/>
      </w:pPr>
      <w:r>
        <w:rPr>
          <w:rFonts w:ascii="Calibri" w:hAnsi="Calibri"/>
          <w:b/>
          <w:color w:val="457B9D"/>
          <w:sz w:val="27"/>
        </w:rPr>
        <w:t>E. Visualization Display</w:t>
      </w:r>
    </w:p>
    <w:p>
      <w:pPr>
        <w:spacing w:before="120" w:after="40"/>
        <w:jc w:val="center"/>
      </w:pPr>
      <w:r>
        <w:drawing>
          <wp:inline xmlns:a="http://schemas.openxmlformats.org/drawingml/2006/main" xmlns:pic="http://schemas.openxmlformats.org/drawingml/2006/picture">
            <wp:extent cx="5577840" cy="3346704"/>
            <wp:docPr id="2" name="Picture 2"/>
            <wp:cNvGraphicFramePr>
              <a:graphicFrameLocks noChangeAspect="1"/>
            </wp:cNvGraphicFramePr>
            <a:graphic>
              <a:graphicData uri="http://schemas.openxmlformats.org/drawingml/2006/picture">
                <pic:pic>
                  <pic:nvPicPr>
                    <pic:cNvPr id="0" name="02_profit_by_category.png"/>
                    <pic:cNvPicPr/>
                  </pic:nvPicPr>
                  <pic:blipFill>
                    <a:blip r:embed="rId11"/>
                    <a:stretch>
                      <a:fillRect/>
                    </a:stretch>
                  </pic:blipFill>
                  <pic:spPr>
                    <a:xfrm>
                      <a:off x="0" y="0"/>
                      <a:ext cx="5577840" cy="3346704"/>
                    </a:xfrm>
                    <a:prstGeom prst="rect"/>
                  </pic:spPr>
                </pic:pic>
              </a:graphicData>
            </a:graphic>
          </wp:inline>
        </w:drawing>
      </w:r>
    </w:p>
    <w:p>
      <w:pPr>
        <w:spacing w:after="160"/>
        <w:jc w:val="center"/>
      </w:pPr>
      <w:r>
        <w:rPr>
          <w:rFonts w:ascii="Calibri" w:hAnsi="Calibri"/>
          <w:i/>
          <w:color w:val="6C757D"/>
          <w:sz w:val="19"/>
        </w:rPr>
        <w:t>Figure 2: Cumulative net profit and commercial profit margin by category.</w:t>
      </w:r>
    </w:p>
    <w:p>
      <w:pPr>
        <w:keepNext/>
        <w:spacing w:before="240" w:after="80"/>
      </w:pPr>
      <w:r>
        <w:rPr>
          <w:rFonts w:ascii="Calibri" w:hAnsi="Calibri"/>
          <w:b/>
          <w:color w:val="457B9D"/>
          <w:sz w:val="27"/>
        </w:rPr>
        <w:t>F. Visual Observations</w:t>
      </w:r>
    </w:p>
    <w:p>
      <w:pPr>
        <w:spacing w:after="80" w:line="276" w:lineRule="auto"/>
      </w:pPr>
      <w:r>
        <w:rPr>
          <w:rFonts w:ascii="Calibri" w:hAnsi="Calibri"/>
          <w:color w:val="2B2D42"/>
          <w:sz w:val="22"/>
        </w:rPr>
        <w:t>Technology dominates enterprise net profit, generating $145,454.95 (50.8% of total profit) at a 17.4% margin. Office Supplies ranks second, producing $122,490.80 (42.8% of total profit) at a robust 17.0% margin. Furniture collapses to a distant third, delivering a meager $18,451.27 (just 6.4% of total profit) at an anemic 2.5% margin.</w:t>
      </w:r>
    </w:p>
    <w:p>
      <w:pPr>
        <w:keepNext/>
        <w:spacing w:before="240" w:after="80"/>
      </w:pPr>
      <w:r>
        <w:rPr>
          <w:rFonts w:ascii="Calibri" w:hAnsi="Calibri"/>
          <w:b/>
          <w:color w:val="457B9D"/>
          <w:sz w:val="27"/>
        </w:rPr>
        <w:t>G. Empirical Interpretation (Comparison with Visualization 1)</w:t>
      </w:r>
    </w:p>
    <w:p>
      <w:pPr>
        <w:spacing w:after="80" w:line="276" w:lineRule="auto"/>
      </w:pPr>
      <w:r>
        <w:rPr>
          <w:rFonts w:ascii="Calibri" w:hAnsi="Calibri"/>
          <w:color w:val="2B2D42"/>
          <w:sz w:val="22"/>
        </w:rPr>
        <w:t>A direct comparison between Visualization 1 and Visualization 2 uncovers the central commercial anomaly of the Superstore enterprise. While Furniture generates 32.3% of enterprise gross sales ($742.0K), it generates only 6.4% of enterprise net profit ($18.5K). Conversely, Technology generates 36.4% of sales but captures more than half of all net profits. Office Supplies matches Technology's margin efficiency (17.0%), delivering over $122K in profit from lower sales. The Furniture division is absorbing massive commercial capital and logistics overhead while returning virtually zero net bottom-line return.</w:t>
      </w:r>
    </w:p>
    <w:p>
      <w:pPr>
        <w:keepNext/>
        <w:spacing w:before="240" w:after="80"/>
      </w:pPr>
      <w:r>
        <w:rPr>
          <w:rFonts w:ascii="Calibri" w:hAnsi="Calibri"/>
          <w:b/>
          <w:color w:val="457B9D"/>
          <w:sz w:val="27"/>
        </w:rPr>
        <w:t>H. Key Insight</w:t>
      </w:r>
    </w:p>
    <w:p>
      <w:pPr>
        <w:spacing w:after="80" w:line="276" w:lineRule="auto"/>
      </w:pPr>
      <w:r>
        <w:rPr>
          <w:rFonts w:ascii="Calibri" w:hAnsi="Calibri"/>
          <w:color w:val="2B2D42"/>
          <w:sz w:val="22"/>
        </w:rPr>
        <w:t>Revenue equality does not translate to profit equality. Furniture suffers an acute profitability collapse, returning only 2.5 cents of profit per dollar of sales.</w:t>
      </w:r>
    </w:p>
    <w:p>
      <w:pPr>
        <w:keepNext/>
        <w:spacing w:before="240" w:after="80"/>
      </w:pPr>
      <w:r>
        <w:rPr>
          <w:rFonts w:ascii="Calibri" w:hAnsi="Calibri"/>
          <w:b/>
          <w:color w:val="457B9D"/>
          <w:sz w:val="27"/>
        </w:rPr>
        <w:t>I. Analytical Limitation</w:t>
      </w:r>
    </w:p>
    <w:p>
      <w:pPr>
        <w:spacing w:after="80" w:line="276" w:lineRule="auto"/>
      </w:pPr>
      <w:r>
        <w:rPr>
          <w:rFonts w:ascii="Calibri" w:hAnsi="Calibri"/>
          <w:color w:val="2B2D42"/>
          <w:sz w:val="22"/>
        </w:rPr>
        <w:t>Category-level aggregation obscures internal variance. It does not indicate whether all furniture items struggle or if specific sub-categories cause the deficit.</w:t>
      </w:r>
    </w:p>
    <w:p>
      <w:r>
        <w:br w:type="page"/>
      </w:r>
    </w:p>
    <w:p>
      <w:pPr>
        <w:keepNext/>
        <w:spacing w:before="320" w:after="120"/>
      </w:pPr>
      <w:r>
        <w:rPr>
          <w:rFonts w:ascii="Calibri" w:hAnsi="Calibri"/>
          <w:b/>
          <w:color w:val="1D3557"/>
          <w:sz w:val="34"/>
        </w:rPr>
        <w:t>10. VISUALIZATION 3: DISTRIBUTION OF TRANSACTION SALES (LOG10)</w:t>
      </w:r>
    </w:p>
    <w:p>
      <w:pPr>
        <w:keepNext/>
        <w:spacing w:before="240" w:after="80"/>
      </w:pPr>
      <w:r>
        <w:rPr>
          <w:rFonts w:ascii="Calibri" w:hAnsi="Calibri"/>
          <w:b/>
          <w:color w:val="457B9D"/>
          <w:sz w:val="27"/>
        </w:rPr>
        <w:t>A. Purpose &amp; Analytical Question</w:t>
      </w:r>
    </w:p>
    <w:p>
      <w:pPr>
        <w:spacing w:after="80" w:line="276" w:lineRule="auto"/>
      </w:pPr>
      <w:r>
        <w:rPr>
          <w:rFonts w:ascii="Calibri" w:hAnsi="Calibri"/>
          <w:color w:val="2B2D42"/>
          <w:sz w:val="22"/>
        </w:rPr>
        <w:t>How are individual transaction sales values distributed across orders, and how does skewness influence central tendency? (RQ3)</w:t>
      </w:r>
    </w:p>
    <w:p>
      <w:pPr>
        <w:keepNext/>
        <w:spacing w:before="240" w:after="80"/>
      </w:pPr>
      <w:r>
        <w:rPr>
          <w:rFonts w:ascii="Calibri" w:hAnsi="Calibri"/>
          <w:b/>
          <w:color w:val="457B9D"/>
          <w:sz w:val="27"/>
        </w:rPr>
        <w:t>B. Variables Represented</w:t>
      </w:r>
    </w:p>
    <w:p>
      <w:pPr>
        <w:spacing w:after="80" w:line="276" w:lineRule="auto"/>
      </w:pPr>
      <w:r>
        <w:rPr>
          <w:rFonts w:ascii="Calibri" w:hAnsi="Calibri"/>
          <w:color w:val="2B2D42"/>
          <w:sz w:val="22"/>
        </w:rPr>
        <w:t>Transaction Sales Revenue in USD (Continuous ratio variable plotted on a base-10 logarithmic scale) and Transaction Count.</w:t>
      </w:r>
    </w:p>
    <w:p>
      <w:pPr>
        <w:keepNext/>
        <w:spacing w:before="240" w:after="80"/>
      </w:pPr>
      <w:r>
        <w:rPr>
          <w:rFonts w:ascii="Calibri" w:hAnsi="Calibri"/>
          <w:b/>
          <w:color w:val="457B9D"/>
          <w:sz w:val="27"/>
        </w:rPr>
        <w:t>C. Aggregation Methodology</w:t>
      </w:r>
    </w:p>
    <w:p>
      <w:pPr>
        <w:spacing w:after="80" w:line="276" w:lineRule="auto"/>
      </w:pPr>
      <w:r>
        <w:rPr>
          <w:rFonts w:ascii="Calibri" w:hAnsi="Calibri"/>
          <w:color w:val="2B2D42"/>
          <w:sz w:val="22"/>
        </w:rPr>
        <w:t>Individual line items (N = 9,994) binned into 50 equal logarithmic intervals, with vertical lines marking the sample median and mean.</w:t>
      </w:r>
    </w:p>
    <w:p>
      <w:pPr>
        <w:keepNext/>
        <w:spacing w:before="240" w:after="80"/>
      </w:pPr>
      <w:r>
        <w:rPr>
          <w:rFonts w:ascii="Calibri" w:hAnsi="Calibri"/>
          <w:b/>
          <w:color w:val="457B9D"/>
          <w:sz w:val="27"/>
        </w:rPr>
        <w:t>D. R Code Implementation</w:t>
      </w:r>
    </w:p>
    <w:tbl>
      <w:tblPr>
        <w:tblW w:type="auto" w:w="0"/>
        <w:jc w:val="center"/>
        <w:tblLook w:firstColumn="1" w:firstRow="1" w:lastColumn="0" w:lastRow="0" w:noHBand="0" w:noVBand="1" w:val="04A0"/>
      </w:tblPr>
      <w:tblGrid>
        <w:gridCol w:w="9360"/>
      </w:tblGrid>
      <w:tr>
        <w:tc>
          <w:tcPr>
            <w:tcW w:type="dxa" w:w="9360"/>
            <w:shd w:fill="F4F4F6"/>
            <w:tcMar>
              <w:top w:w="100" w:type="dxa"/>
              <w:bottom w:w="100" w:type="dxa"/>
              <w:left w:w="150" w:type="dxa"/>
              <w:right w:w="150" w:type="dxa"/>
            </w:tcMar>
            <w:tcBorders>
              <w:top w:val="single" w:sz="4" w:color="D3D3D3"/>
              <w:left w:val="single" w:sz="18" w:color="457B9D"/>
              <w:bottom w:val="single" w:sz="4" w:color="D3D3D3"/>
              <w:right w:val="single" w:sz="4" w:color="D3D3D3"/>
            </w:tcBorders>
          </w:tcPr>
          <w:p>
            <w:pPr>
              <w:spacing w:after="0" w:line="252" w:lineRule="auto"/>
            </w:pPr>
            <w:r>
              <w:rPr>
                <w:rFonts w:ascii="Consolas" w:hAnsi="Consolas"/>
                <w:color w:val="1E293B"/>
                <w:sz w:val="18"/>
              </w:rPr>
              <w:t># Visualization 3 R Code</w:t>
              <w:br/>
              <w:t>p3 &lt;- ggplot(superstore_clean, aes(x = Sales)) +</w:t>
              <w:br/>
              <w:t xml:space="preserve">  geom_histogram(bins = 50, fill = col_slate, color = "white", alpha = 0.9) +</w:t>
              <w:br/>
              <w:t xml:space="preserve">  geom_vline(xintercept = med_sales, color = col_crimson, linetype = "dashed", linewidth = 1) +</w:t>
              <w:br/>
              <w:t xml:space="preserve">  geom_vline(xintercept = mean_sales, color = "#1B263B", linetype = "dotted", linewidth = 1) +</w:t>
              <w:br/>
              <w:t xml:space="preserve">  scale_x_log10(labels = dollar_format(prefix = "$"), breaks = c(1, 5, 10, 50, 100, 500, 1000, 5000, 20000)) +</w:t>
              <w:br/>
              <w:t xml:space="preserve">  labs(title = "Visualization 3: Distribution of Individual Transaction Sales (Log10 Scale)",</w:t>
              <w:br/>
              <w:t xml:space="preserve">       subtitle = "Marked positive skewness: Mean ($229.86) is pulled far above Median ($54.49) by high-value outliers",</w:t>
              <w:br/>
              <w:t xml:space="preserve">       x = "Transaction Sales Revenue in USD (Log10 Scale)", y = "Transaction Frequency (Count)") + theme_superstore()</w:t>
            </w:r>
          </w:p>
        </w:tc>
      </w:tr>
    </w:tbl>
    <w:p>
      <w:pPr>
        <w:spacing w:after="40"/>
      </w:pPr>
    </w:p>
    <w:p>
      <w:pPr>
        <w:keepNext/>
        <w:spacing w:before="240" w:after="80"/>
      </w:pPr>
      <w:r>
        <w:rPr>
          <w:rFonts w:ascii="Calibri" w:hAnsi="Calibri"/>
          <w:b/>
          <w:color w:val="457B9D"/>
          <w:sz w:val="27"/>
        </w:rPr>
        <w:t>E. Visualization Display</w:t>
      </w:r>
    </w:p>
    <w:p>
      <w:pPr>
        <w:spacing w:before="120" w:after="40"/>
        <w:jc w:val="center"/>
      </w:pPr>
      <w:r>
        <w:drawing>
          <wp:inline xmlns:a="http://schemas.openxmlformats.org/drawingml/2006/main" xmlns:pic="http://schemas.openxmlformats.org/drawingml/2006/picture">
            <wp:extent cx="5577840" cy="3346704"/>
            <wp:docPr id="3" name="Picture 3"/>
            <wp:cNvGraphicFramePr>
              <a:graphicFrameLocks noChangeAspect="1"/>
            </wp:cNvGraphicFramePr>
            <a:graphic>
              <a:graphicData uri="http://schemas.openxmlformats.org/drawingml/2006/picture">
                <pic:pic>
                  <pic:nvPicPr>
                    <pic:cNvPr id="0" name="03_sales_distribution.png"/>
                    <pic:cNvPicPr/>
                  </pic:nvPicPr>
                  <pic:blipFill>
                    <a:blip r:embed="rId12"/>
                    <a:stretch>
                      <a:fillRect/>
                    </a:stretch>
                  </pic:blipFill>
                  <pic:spPr>
                    <a:xfrm>
                      <a:off x="0" y="0"/>
                      <a:ext cx="5577840" cy="3346704"/>
                    </a:xfrm>
                    <a:prstGeom prst="rect"/>
                  </pic:spPr>
                </pic:pic>
              </a:graphicData>
            </a:graphic>
          </wp:inline>
        </w:drawing>
      </w:r>
    </w:p>
    <w:p>
      <w:pPr>
        <w:spacing w:after="160"/>
        <w:jc w:val="center"/>
      </w:pPr>
      <w:r>
        <w:rPr>
          <w:rFonts w:ascii="Calibri" w:hAnsi="Calibri"/>
          <w:i/>
          <w:color w:val="6C757D"/>
          <w:sz w:val="19"/>
        </w:rPr>
        <w:t>Figure 3: Frequency distribution of line-item transaction sales on a logarithmic scale.</w:t>
      </w:r>
    </w:p>
    <w:p>
      <w:pPr>
        <w:keepNext/>
        <w:spacing w:before="240" w:after="80"/>
      </w:pPr>
      <w:r>
        <w:rPr>
          <w:rFonts w:ascii="Calibri" w:hAnsi="Calibri"/>
          <w:b/>
          <w:color w:val="457B9D"/>
          <w:sz w:val="27"/>
        </w:rPr>
        <w:t>F. Visual Observations</w:t>
      </w:r>
    </w:p>
    <w:p>
      <w:pPr>
        <w:spacing w:after="80" w:line="276" w:lineRule="auto"/>
      </w:pPr>
      <w:r>
        <w:rPr>
          <w:rFonts w:ascii="Calibri" w:hAnsi="Calibri"/>
          <w:color w:val="2B2D42"/>
          <w:sz w:val="22"/>
        </w:rPr>
        <w:t>On a logarithmic scale, transaction sales form a unimodal distribution centered around $50. The sample median is $54.49, whereas the arithmetic mean is $229.86. Exactly 50% of all transactions fall between $17.28 (Q1) and $209.94 (Q3). A prominent right-hand tail extends out to a single maximum transaction of $22,638.48.</w:t>
      </w:r>
    </w:p>
    <w:p>
      <w:pPr>
        <w:keepNext/>
        <w:spacing w:before="240" w:after="80"/>
      </w:pPr>
      <w:r>
        <w:rPr>
          <w:rFonts w:ascii="Calibri" w:hAnsi="Calibri"/>
          <w:b/>
          <w:color w:val="457B9D"/>
          <w:sz w:val="27"/>
        </w:rPr>
        <w:t>G. Empirical Interpretation</w:t>
      </w:r>
    </w:p>
    <w:p>
      <w:pPr>
        <w:spacing w:after="80" w:line="276" w:lineRule="auto"/>
      </w:pPr>
      <w:r>
        <w:rPr>
          <w:rFonts w:ascii="Calibri" w:hAnsi="Calibri"/>
          <w:color w:val="2B2D42"/>
          <w:sz w:val="22"/>
        </w:rPr>
        <w:t>The dramatic divergence between the mean ($229.86) and median ($54.49) provides empirical proof of severe positive skewness. The vast majority of Superstore's transactional traffic consists of small routine purchases (pens, paper, folders). However, aggregate sales volume is heavily influenced by a small number of extraordinarily high-value commercial hardware transactions. Relying on the arithmetic mean would lead management to grossly overestimate typical order size by more than 320%.</w:t>
      </w:r>
    </w:p>
    <w:p>
      <w:pPr>
        <w:keepNext/>
        <w:spacing w:before="240" w:after="80"/>
      </w:pPr>
      <w:r>
        <w:rPr>
          <w:rFonts w:ascii="Calibri" w:hAnsi="Calibri"/>
          <w:b/>
          <w:color w:val="457B9D"/>
          <w:sz w:val="27"/>
        </w:rPr>
        <w:t>H. Key Insight</w:t>
      </w:r>
    </w:p>
    <w:p>
      <w:pPr>
        <w:spacing w:after="80" w:line="276" w:lineRule="auto"/>
      </w:pPr>
      <w:r>
        <w:rPr>
          <w:rFonts w:ascii="Calibri" w:hAnsi="Calibri"/>
          <w:color w:val="2B2D42"/>
          <w:sz w:val="22"/>
        </w:rPr>
        <w:t>The median transaction is only $54.49; the arithmetic mean of $229.86 is distorted by an elite tail of high-value commercial equipment sales.</w:t>
      </w:r>
    </w:p>
    <w:p>
      <w:pPr>
        <w:keepNext/>
        <w:spacing w:before="240" w:after="80"/>
      </w:pPr>
      <w:r>
        <w:rPr>
          <w:rFonts w:ascii="Calibri" w:hAnsi="Calibri"/>
          <w:b/>
          <w:color w:val="457B9D"/>
          <w:sz w:val="27"/>
        </w:rPr>
        <w:t>I. Analytical Limitation</w:t>
      </w:r>
    </w:p>
    <w:p>
      <w:pPr>
        <w:spacing w:after="80" w:line="276" w:lineRule="auto"/>
      </w:pPr>
      <w:r>
        <w:rPr>
          <w:rFonts w:ascii="Calibri" w:hAnsi="Calibri"/>
          <w:color w:val="2B2D42"/>
          <w:sz w:val="22"/>
        </w:rPr>
        <w:t>Logarithmic transformation compresses visual perception of large values; the distance between $1,000 and $10,000 appears visually equal to $10 and $100.</w:t>
      </w:r>
    </w:p>
    <w:p>
      <w:r>
        <w:br w:type="page"/>
      </w:r>
    </w:p>
    <w:p>
      <w:pPr>
        <w:keepNext/>
        <w:spacing w:before="320" w:after="120"/>
      </w:pPr>
      <w:r>
        <w:rPr>
          <w:rFonts w:ascii="Calibri" w:hAnsi="Calibri"/>
          <w:b/>
          <w:color w:val="1D3557"/>
          <w:sz w:val="34"/>
        </w:rPr>
        <w:t>11. VISUALIZATION 4: TRANSACTION PROFIT DISTRIBUTION</w:t>
      </w:r>
    </w:p>
    <w:p>
      <w:pPr>
        <w:keepNext/>
        <w:spacing w:before="240" w:after="80"/>
      </w:pPr>
      <w:r>
        <w:rPr>
          <w:rFonts w:ascii="Calibri" w:hAnsi="Calibri"/>
          <w:b/>
          <w:color w:val="457B9D"/>
          <w:sz w:val="27"/>
        </w:rPr>
        <w:t>A. Purpose &amp; Analytical Question</w:t>
      </w:r>
    </w:p>
    <w:p>
      <w:pPr>
        <w:spacing w:after="80" w:line="276" w:lineRule="auto"/>
      </w:pPr>
      <w:r>
        <w:rPr>
          <w:rFonts w:ascii="Calibri" w:hAnsi="Calibri"/>
          <w:color w:val="2B2D42"/>
          <w:sz w:val="22"/>
        </w:rPr>
        <w:t>How are net profits distributed across line-item transactions, and what proportion operates at an outright commercial loss? (RQ4)</w:t>
      </w:r>
    </w:p>
    <w:p>
      <w:pPr>
        <w:keepNext/>
        <w:spacing w:before="240" w:after="80"/>
      </w:pPr>
      <w:r>
        <w:rPr>
          <w:rFonts w:ascii="Calibri" w:hAnsi="Calibri"/>
          <w:b/>
          <w:color w:val="457B9D"/>
          <w:sz w:val="27"/>
        </w:rPr>
        <w:t>B. Variables Represented</w:t>
      </w:r>
    </w:p>
    <w:p>
      <w:pPr>
        <w:spacing w:after="80" w:line="276" w:lineRule="auto"/>
      </w:pPr>
      <w:r>
        <w:rPr>
          <w:rFonts w:ascii="Calibri" w:hAnsi="Calibri"/>
          <w:color w:val="2B2D42"/>
          <w:sz w:val="22"/>
        </w:rPr>
        <w:t>Transaction Net Profit in USD (Continuous metric clamped to [-$500, +$500]) and Transaction Frequency, colored by profitability status.</w:t>
      </w:r>
    </w:p>
    <w:p>
      <w:pPr>
        <w:keepNext/>
        <w:spacing w:before="240" w:after="80"/>
      </w:pPr>
      <w:r>
        <w:rPr>
          <w:rFonts w:ascii="Calibri" w:hAnsi="Calibri"/>
          <w:b/>
          <w:color w:val="457B9D"/>
          <w:sz w:val="27"/>
        </w:rPr>
        <w:t>C. Aggregation Methodology</w:t>
      </w:r>
    </w:p>
    <w:p>
      <w:pPr>
        <w:spacing w:after="80" w:line="276" w:lineRule="auto"/>
      </w:pPr>
      <w:r>
        <w:rPr>
          <w:rFonts w:ascii="Calibri" w:hAnsi="Calibri"/>
          <w:color w:val="2B2D42"/>
          <w:sz w:val="22"/>
        </w:rPr>
        <w:t>Binned into $15 intervals with a hard boundary at $0. Bars are conditionally filled by whether Profit &gt;= $0.</w:t>
      </w:r>
    </w:p>
    <w:p>
      <w:pPr>
        <w:keepNext/>
        <w:spacing w:before="240" w:after="80"/>
      </w:pPr>
      <w:r>
        <w:rPr>
          <w:rFonts w:ascii="Calibri" w:hAnsi="Calibri"/>
          <w:b/>
          <w:color w:val="457B9D"/>
          <w:sz w:val="27"/>
        </w:rPr>
        <w:t>D. R Code Implementation</w:t>
      </w:r>
    </w:p>
    <w:tbl>
      <w:tblPr>
        <w:tblW w:type="auto" w:w="0"/>
        <w:jc w:val="center"/>
        <w:tblLook w:firstColumn="1" w:firstRow="1" w:lastColumn="0" w:lastRow="0" w:noHBand="0" w:noVBand="1" w:val="04A0"/>
      </w:tblPr>
      <w:tblGrid>
        <w:gridCol w:w="9360"/>
      </w:tblGrid>
      <w:tr>
        <w:tc>
          <w:tcPr>
            <w:tcW w:type="dxa" w:w="9360"/>
            <w:shd w:fill="F4F4F6"/>
            <w:tcMar>
              <w:top w:w="100" w:type="dxa"/>
              <w:bottom w:w="100" w:type="dxa"/>
              <w:left w:w="150" w:type="dxa"/>
              <w:right w:w="150" w:type="dxa"/>
            </w:tcMar>
            <w:tcBorders>
              <w:top w:val="single" w:sz="4" w:color="D3D3D3"/>
              <w:left w:val="single" w:sz="18" w:color="457B9D"/>
              <w:bottom w:val="single" w:sz="4" w:color="D3D3D3"/>
              <w:right w:val="single" w:sz="4" w:color="D3D3D3"/>
            </w:tcBorders>
          </w:tcPr>
          <w:p>
            <w:pPr>
              <w:spacing w:after="0" w:line="252" w:lineRule="auto"/>
            </w:pPr>
            <w:r>
              <w:rPr>
                <w:rFonts w:ascii="Consolas" w:hAnsi="Consolas"/>
                <w:color w:val="1E293B"/>
                <w:sz w:val="18"/>
              </w:rPr>
              <w:t># Visualization 4 R Code</w:t>
              <w:br/>
              <w:t>p4 &lt;- ggplot(superstore_clean, aes(x = Profit, fill = Profit &gt;= 0)) +</w:t>
              <w:br/>
              <w:t xml:space="preserve">  geom_histogram(binwidth = 15, boundary = 0, color = "white", alpha = 0.88) +</w:t>
              <w:br/>
              <w:t xml:space="preserve">  geom_vline(xintercept = 0, color = "#1B263B", linewidth = 1.1) +</w:t>
              <w:br/>
              <w:t xml:space="preserve">  scale_x_continuous(labels = dollar_format(prefix = "$"), limits = c(-500, 500), breaks = seq(-500, 500, 100)) +</w:t>
              <w:br/>
              <w:t xml:space="preserve">  scale_fill_manual(values = c("TRUE" = col_emerald, "FALSE" = col_crimson)) +</w:t>
              <w:br/>
              <w:t xml:space="preserve">  labs(title = "Visualization 4: Distribution of Transaction Net Profit Around Breakeven ($0)",</w:t>
              <w:br/>
              <w:t xml:space="preserve">       subtitle = "High concentration near zero (Median: $8.67); 18.7% of line items generate outright losses",</w:t>
              <w:br/>
              <w:t xml:space="preserve">       x = "Transaction Net Profit in USD (Clamped to [-$500, +$500])", y = "Transaction Frequency (Count)") + theme_superstore()</w:t>
            </w:r>
          </w:p>
        </w:tc>
      </w:tr>
    </w:tbl>
    <w:p>
      <w:pPr>
        <w:spacing w:after="40"/>
      </w:pPr>
    </w:p>
    <w:p>
      <w:pPr>
        <w:keepNext/>
        <w:spacing w:before="240" w:after="80"/>
      </w:pPr>
      <w:r>
        <w:rPr>
          <w:rFonts w:ascii="Calibri" w:hAnsi="Calibri"/>
          <w:b/>
          <w:color w:val="457B9D"/>
          <w:sz w:val="27"/>
        </w:rPr>
        <w:t>E. Visualization Display</w:t>
      </w:r>
    </w:p>
    <w:p>
      <w:pPr>
        <w:spacing w:before="120" w:after="40"/>
        <w:jc w:val="center"/>
      </w:pPr>
      <w:r>
        <w:drawing>
          <wp:inline xmlns:a="http://schemas.openxmlformats.org/drawingml/2006/main" xmlns:pic="http://schemas.openxmlformats.org/drawingml/2006/picture">
            <wp:extent cx="5577840" cy="3346704"/>
            <wp:docPr id="4" name="Picture 4"/>
            <wp:cNvGraphicFramePr>
              <a:graphicFrameLocks noChangeAspect="1"/>
            </wp:cNvGraphicFramePr>
            <a:graphic>
              <a:graphicData uri="http://schemas.openxmlformats.org/drawingml/2006/picture">
                <pic:pic>
                  <pic:nvPicPr>
                    <pic:cNvPr id="0" name="04_profit_distribution.png"/>
                    <pic:cNvPicPr/>
                  </pic:nvPicPr>
                  <pic:blipFill>
                    <a:blip r:embed="rId13"/>
                    <a:stretch>
                      <a:fillRect/>
                    </a:stretch>
                  </pic:blipFill>
                  <pic:spPr>
                    <a:xfrm>
                      <a:off x="0" y="0"/>
                      <a:ext cx="5577840" cy="3346704"/>
                    </a:xfrm>
                    <a:prstGeom prst="rect"/>
                  </pic:spPr>
                </pic:pic>
              </a:graphicData>
            </a:graphic>
          </wp:inline>
        </w:drawing>
      </w:r>
    </w:p>
    <w:p>
      <w:pPr>
        <w:spacing w:after="160"/>
        <w:jc w:val="center"/>
      </w:pPr>
      <w:r>
        <w:rPr>
          <w:rFonts w:ascii="Calibri" w:hAnsi="Calibri"/>
          <w:i/>
          <w:color w:val="6C757D"/>
          <w:sz w:val="19"/>
        </w:rPr>
        <w:t>Figure 4: Frequency distribution of net profit centered on the breakeven threshold ($0).</w:t>
      </w:r>
    </w:p>
    <w:p>
      <w:pPr>
        <w:keepNext/>
        <w:spacing w:before="240" w:after="80"/>
      </w:pPr>
      <w:r>
        <w:rPr>
          <w:rFonts w:ascii="Calibri" w:hAnsi="Calibri"/>
          <w:b/>
          <w:color w:val="457B9D"/>
          <w:sz w:val="27"/>
        </w:rPr>
        <w:t>F. Visual Observations</w:t>
      </w:r>
    </w:p>
    <w:p>
      <w:pPr>
        <w:spacing w:after="80" w:line="276" w:lineRule="auto"/>
      </w:pPr>
      <w:r>
        <w:rPr>
          <w:rFonts w:ascii="Calibri" w:hAnsi="Calibri"/>
          <w:color w:val="2B2D42"/>
          <w:sz w:val="22"/>
        </w:rPr>
        <w:t>The distribution exhibits an intense density spike immediately to the right of zero, reflecting a median transaction profit of $8.67. Of the 9,994 line items, 8,123 (81.3%) are profitable (green), while 1,871 (18.7%) operate at a negative net profit (red). The negative loss tail extends far deeper than the typical positive order, reaching an extreme loss of -$6,599.98.</w:t>
      </w:r>
    </w:p>
    <w:p>
      <w:pPr>
        <w:keepNext/>
        <w:spacing w:before="240" w:after="80"/>
      </w:pPr>
      <w:r>
        <w:rPr>
          <w:rFonts w:ascii="Calibri" w:hAnsi="Calibri"/>
          <w:b/>
          <w:color w:val="457B9D"/>
          <w:sz w:val="27"/>
        </w:rPr>
        <w:t>G. Empirical Interpretation</w:t>
      </w:r>
    </w:p>
    <w:p>
      <w:pPr>
        <w:spacing w:after="80" w:line="276" w:lineRule="auto"/>
      </w:pPr>
      <w:r>
        <w:rPr>
          <w:rFonts w:ascii="Calibri" w:hAnsi="Calibri"/>
          <w:color w:val="2B2D42"/>
          <w:sz w:val="22"/>
        </w:rPr>
        <w:t>This visualization demonstrates that nearly one out of every five products sold by Superstore actively destroys enterprise capital. Because the median profit is modest ($8.67), it requires the accumulated net profit of dozens of typical profitable orders to offset a single severe loss-making order (such as a -$1,000 or -$6,600 deficit). The enterprise's overall profit margin is severely suppressed not by weak customer demand, but by severe negative loss tail transactions.</w:t>
      </w:r>
    </w:p>
    <w:p>
      <w:pPr>
        <w:keepNext/>
        <w:spacing w:before="240" w:after="80"/>
      </w:pPr>
      <w:r>
        <w:rPr>
          <w:rFonts w:ascii="Calibri" w:hAnsi="Calibri"/>
          <w:b/>
          <w:color w:val="457B9D"/>
          <w:sz w:val="27"/>
        </w:rPr>
        <w:t>H. Key Insight</w:t>
      </w:r>
    </w:p>
    <w:p>
      <w:pPr>
        <w:spacing w:after="80" w:line="276" w:lineRule="auto"/>
      </w:pPr>
      <w:r>
        <w:rPr>
          <w:rFonts w:ascii="Calibri" w:hAnsi="Calibri"/>
          <w:color w:val="2B2D42"/>
          <w:sz w:val="22"/>
        </w:rPr>
        <w:t>Nearly 19% of all fulfilled transactions generate net commercial losses, creating a heavy negative deficit tail that drains aggregate corporate earnings.</w:t>
      </w:r>
    </w:p>
    <w:p>
      <w:pPr>
        <w:keepNext/>
        <w:spacing w:before="240" w:after="80"/>
      </w:pPr>
      <w:r>
        <w:rPr>
          <w:rFonts w:ascii="Calibri" w:hAnsi="Calibri"/>
          <w:b/>
          <w:color w:val="457B9D"/>
          <w:sz w:val="27"/>
        </w:rPr>
        <w:t>I. Analytical Limitation</w:t>
      </w:r>
    </w:p>
    <w:p>
      <w:pPr>
        <w:spacing w:after="80" w:line="276" w:lineRule="auto"/>
      </w:pPr>
      <w:r>
        <w:rPr>
          <w:rFonts w:ascii="Calibri" w:hAnsi="Calibri"/>
          <w:color w:val="2B2D42"/>
          <w:sz w:val="22"/>
        </w:rPr>
        <w:t>The horizontal axis was clamped to [-$500, +$500] to preserve bin visibility around zero, visually truncating 167 extreme outlier transactions.</w:t>
      </w:r>
    </w:p>
    <w:p>
      <w:r>
        <w:br w:type="page"/>
      </w:r>
    </w:p>
    <w:p>
      <w:pPr>
        <w:keepNext/>
        <w:spacing w:before="320" w:after="120"/>
      </w:pPr>
      <w:r>
        <w:rPr>
          <w:rFonts w:ascii="Calibri" w:hAnsi="Calibri"/>
          <w:b/>
          <w:color w:val="1D3557"/>
          <w:sz w:val="34"/>
        </w:rPr>
        <w:t>12. VISUALIZATION 5: CHRONOLOGICAL MONTHLY SALES REVENUE TREND</w:t>
      </w:r>
    </w:p>
    <w:p>
      <w:pPr>
        <w:keepNext/>
        <w:spacing w:before="240" w:after="80"/>
      </w:pPr>
      <w:r>
        <w:rPr>
          <w:rFonts w:ascii="Calibri" w:hAnsi="Calibri"/>
          <w:b/>
          <w:color w:val="457B9D"/>
          <w:sz w:val="27"/>
        </w:rPr>
        <w:t>A. Purpose &amp; Analytical Question</w:t>
      </w:r>
    </w:p>
    <w:p>
      <w:pPr>
        <w:spacing w:after="80" w:line="276" w:lineRule="auto"/>
      </w:pPr>
      <w:r>
        <w:rPr>
          <w:rFonts w:ascii="Calibri" w:hAnsi="Calibri"/>
          <w:color w:val="2B2D42"/>
          <w:sz w:val="22"/>
        </w:rPr>
        <w:t>How did sales revenue evolve over the four-year observation period, and do recurring seasonal patterns emerge? (RQ5)</w:t>
      </w:r>
    </w:p>
    <w:p>
      <w:pPr>
        <w:keepNext/>
        <w:spacing w:before="240" w:after="80"/>
      </w:pPr>
      <w:r>
        <w:rPr>
          <w:rFonts w:ascii="Calibri" w:hAnsi="Calibri"/>
          <w:b/>
          <w:color w:val="457B9D"/>
          <w:sz w:val="27"/>
        </w:rPr>
        <w:t>B. Variables Represented</w:t>
      </w:r>
    </w:p>
    <w:p>
      <w:pPr>
        <w:spacing w:after="80" w:line="276" w:lineRule="auto"/>
      </w:pPr>
      <w:r>
        <w:rPr>
          <w:rFonts w:ascii="Calibri" w:hAnsi="Calibri"/>
          <w:color w:val="2B2D42"/>
          <w:sz w:val="22"/>
        </w:rPr>
        <w:t>Order Timeline (Order_YM_Date: Continuous monthly date anchor) and Monthly Total Sales Revenue (USD).</w:t>
      </w:r>
    </w:p>
    <w:p>
      <w:pPr>
        <w:keepNext/>
        <w:spacing w:before="240" w:after="80"/>
      </w:pPr>
      <w:r>
        <w:rPr>
          <w:rFonts w:ascii="Calibri" w:hAnsi="Calibri"/>
          <w:b/>
          <w:color w:val="457B9D"/>
          <w:sz w:val="27"/>
        </w:rPr>
        <w:t>C. Aggregation Methodology</w:t>
      </w:r>
    </w:p>
    <w:p>
      <w:pPr>
        <w:spacing w:after="80" w:line="276" w:lineRule="auto"/>
      </w:pPr>
      <w:r>
        <w:rPr>
          <w:rFonts w:ascii="Calibri" w:hAnsi="Calibri"/>
          <w:color w:val="2B2D42"/>
          <w:sz w:val="22"/>
        </w:rPr>
        <w:t>Line items aggregated by month across 48 continuous intervals (2011-01 to 2014-12), paired with a non-parametric LOESS smoothing curve.</w:t>
      </w:r>
    </w:p>
    <w:p>
      <w:pPr>
        <w:keepNext/>
        <w:spacing w:before="240" w:after="80"/>
      </w:pPr>
      <w:r>
        <w:rPr>
          <w:rFonts w:ascii="Calibri" w:hAnsi="Calibri"/>
          <w:b/>
          <w:color w:val="457B9D"/>
          <w:sz w:val="27"/>
        </w:rPr>
        <w:t>D. R Code Implementation</w:t>
      </w:r>
    </w:p>
    <w:tbl>
      <w:tblPr>
        <w:tblW w:type="auto" w:w="0"/>
        <w:jc w:val="center"/>
        <w:tblLook w:firstColumn="1" w:firstRow="1" w:lastColumn="0" w:lastRow="0" w:noHBand="0" w:noVBand="1" w:val="04A0"/>
      </w:tblPr>
      <w:tblGrid>
        <w:gridCol w:w="9360"/>
      </w:tblGrid>
      <w:tr>
        <w:tc>
          <w:tcPr>
            <w:tcW w:type="dxa" w:w="9360"/>
            <w:shd w:fill="F4F4F6"/>
            <w:tcMar>
              <w:top w:w="100" w:type="dxa"/>
              <w:bottom w:w="100" w:type="dxa"/>
              <w:left w:w="150" w:type="dxa"/>
              <w:right w:w="150" w:type="dxa"/>
            </w:tcMar>
            <w:tcBorders>
              <w:top w:val="single" w:sz="4" w:color="D3D3D3"/>
              <w:left w:val="single" w:sz="18" w:color="457B9D"/>
              <w:bottom w:val="single" w:sz="4" w:color="D3D3D3"/>
              <w:right w:val="single" w:sz="4" w:color="D3D3D3"/>
            </w:tcBorders>
          </w:tcPr>
          <w:p>
            <w:pPr>
              <w:spacing w:after="0" w:line="252" w:lineRule="auto"/>
            </w:pPr>
            <w:r>
              <w:rPr>
                <w:rFonts w:ascii="Consolas" w:hAnsi="Consolas"/>
                <w:color w:val="1E293B"/>
                <w:sz w:val="18"/>
              </w:rPr>
              <w:t># Visualization 5 R Code</w:t>
              <w:br/>
              <w:t>p5 &lt;- ggplot(monthly_sales, aes(x = Order_YM_Date, y = Total_Sales)) +</w:t>
              <w:br/>
              <w:t xml:space="preserve">  geom_area(fill = col_slate, alpha = 0.15) +</w:t>
              <w:br/>
              <w:t xml:space="preserve">  geom_line(color = col_navy, linewidth = 1.1) +</w:t>
              <w:br/>
              <w:t xml:space="preserve">  geom_point(color = col_navy, size = 2.4, shape = 21, fill = "white", stroke = 1.2) +</w:t>
              <w:br/>
              <w:t xml:space="preserve">  geom_smooth(method = "loess", color = col_coral, linetype = "dashed", se = FALSE) +</w:t>
              <w:br/>
              <w:t xml:space="preserve">  scale_x_date(date_breaks = "6 months", date_labels = "%b %Y") +</w:t>
              <w:br/>
              <w:t xml:space="preserve">  scale_y_continuous(labels = dollar_format(prefix = "$", scale = 1e-3, suffix = "K")) +</w:t>
              <w:br/>
              <w:t xml:space="preserve">  labs(title = "Visualization 5: Chronological Monthly Sales Trend (Jan 2011 – Dec 2014)",</w:t>
              <w:br/>
              <w:t xml:space="preserve">       subtitle = "Multi-year revenue expansion accompanied by pronounced recurring Q4 seasonal peaks (Nov/Dec)",</w:t>
              <w:br/>
              <w:t xml:space="preserve">       x = "Order Timeline (Month &amp; Year)", y = "Monthly Total Sales Revenue (USD)") + theme_superstore()</w:t>
            </w:r>
          </w:p>
        </w:tc>
      </w:tr>
    </w:tbl>
    <w:p>
      <w:pPr>
        <w:spacing w:after="40"/>
      </w:pPr>
    </w:p>
    <w:p>
      <w:pPr>
        <w:keepNext/>
        <w:spacing w:before="240" w:after="80"/>
      </w:pPr>
      <w:r>
        <w:rPr>
          <w:rFonts w:ascii="Calibri" w:hAnsi="Calibri"/>
          <w:b/>
          <w:color w:val="457B9D"/>
          <w:sz w:val="27"/>
        </w:rPr>
        <w:t>E. Visualization Display</w:t>
      </w:r>
    </w:p>
    <w:p>
      <w:pPr>
        <w:spacing w:before="120" w:after="40"/>
        <w:jc w:val="center"/>
      </w:pPr>
      <w:r>
        <w:drawing>
          <wp:inline xmlns:a="http://schemas.openxmlformats.org/drawingml/2006/main" xmlns:pic="http://schemas.openxmlformats.org/drawingml/2006/picture">
            <wp:extent cx="5577840" cy="3346704"/>
            <wp:docPr id="5" name="Picture 5"/>
            <wp:cNvGraphicFramePr>
              <a:graphicFrameLocks noChangeAspect="1"/>
            </wp:cNvGraphicFramePr>
            <a:graphic>
              <a:graphicData uri="http://schemas.openxmlformats.org/drawingml/2006/picture">
                <pic:pic>
                  <pic:nvPicPr>
                    <pic:cNvPr id="0" name="05_monthly_sales_trend.png"/>
                    <pic:cNvPicPr/>
                  </pic:nvPicPr>
                  <pic:blipFill>
                    <a:blip r:embed="rId14"/>
                    <a:stretch>
                      <a:fillRect/>
                    </a:stretch>
                  </pic:blipFill>
                  <pic:spPr>
                    <a:xfrm>
                      <a:off x="0" y="0"/>
                      <a:ext cx="5577840" cy="3346704"/>
                    </a:xfrm>
                    <a:prstGeom prst="rect"/>
                  </pic:spPr>
                </pic:pic>
              </a:graphicData>
            </a:graphic>
          </wp:inline>
        </w:drawing>
      </w:r>
    </w:p>
    <w:p>
      <w:pPr>
        <w:spacing w:after="160"/>
        <w:jc w:val="center"/>
      </w:pPr>
      <w:r>
        <w:rPr>
          <w:rFonts w:ascii="Calibri" w:hAnsi="Calibri"/>
          <w:i/>
          <w:color w:val="6C757D"/>
          <w:sz w:val="19"/>
        </w:rPr>
        <w:t>Figure 5: 48-month continuous revenue trend with LOESS smoothing curve.</w:t>
      </w:r>
    </w:p>
    <w:p>
      <w:pPr>
        <w:keepNext/>
        <w:spacing w:before="240" w:after="80"/>
      </w:pPr>
      <w:r>
        <w:rPr>
          <w:rFonts w:ascii="Calibri" w:hAnsi="Calibri"/>
          <w:b/>
          <w:color w:val="457B9D"/>
          <w:sz w:val="27"/>
        </w:rPr>
        <w:t>F. Visual Observations</w:t>
      </w:r>
    </w:p>
    <w:p>
      <w:pPr>
        <w:spacing w:after="80" w:line="276" w:lineRule="auto"/>
      </w:pPr>
      <w:r>
        <w:rPr>
          <w:rFonts w:ascii="Calibri" w:hAnsi="Calibri"/>
          <w:color w:val="2B2D42"/>
          <w:sz w:val="22"/>
        </w:rPr>
        <w:t>The LOESS smoothing curve illustrates sustained multi-year revenue growth: annual sales increased from $484,247.50 in 2011 to $733,947.02 in 2014 (a 51.6% four-year expansion). Superimposed on this long-term trend is a powerful, recurring intra-year seasonal cycle. Every single year begins with a sharp post-holiday dip in January and February ($13K–$20K), followed by mid-year stabilization and a massive surge in Q4 (September, November, and December). The all-time monthly revenue peak occurred in November 2014 at $118,447.83.</w:t>
      </w:r>
    </w:p>
    <w:p>
      <w:pPr>
        <w:keepNext/>
        <w:spacing w:before="240" w:after="80"/>
      </w:pPr>
      <w:r>
        <w:rPr>
          <w:rFonts w:ascii="Calibri" w:hAnsi="Calibri"/>
          <w:b/>
          <w:color w:val="457B9D"/>
          <w:sz w:val="27"/>
        </w:rPr>
        <w:t>G. Empirical Interpretation</w:t>
      </w:r>
    </w:p>
    <w:p>
      <w:pPr>
        <w:spacing w:after="80" w:line="276" w:lineRule="auto"/>
      </w:pPr>
      <w:r>
        <w:rPr>
          <w:rFonts w:ascii="Calibri" w:hAnsi="Calibri"/>
          <w:color w:val="2B2D42"/>
          <w:sz w:val="22"/>
        </w:rPr>
        <w:t>The data confirms both strong macroeconomic growth and pronounced seasonality. The annual Q4 surge corresponds to corporate fiscal year-end budget flush and holiday commercial purchasing. Conversely, Q1 represents an operational lull. Management must align supply chain inventory procurement and warehouse temporary staffing to accommodate an operational surge in Q4 that handles more than 35% of annual volume.</w:t>
      </w:r>
    </w:p>
    <w:p>
      <w:pPr>
        <w:keepNext/>
        <w:spacing w:before="240" w:after="80"/>
      </w:pPr>
      <w:r>
        <w:rPr>
          <w:rFonts w:ascii="Calibri" w:hAnsi="Calibri"/>
          <w:b/>
          <w:color w:val="457B9D"/>
          <w:sz w:val="27"/>
        </w:rPr>
        <w:t>H. Key Insight</w:t>
      </w:r>
    </w:p>
    <w:p>
      <w:pPr>
        <w:spacing w:after="80" w:line="276" w:lineRule="auto"/>
      </w:pPr>
      <w:r>
        <w:rPr>
          <w:rFonts w:ascii="Calibri" w:hAnsi="Calibri"/>
          <w:color w:val="2B2D42"/>
          <w:sz w:val="22"/>
        </w:rPr>
        <w:t>Sales exhibit consistent 51.6% multi-year growth characterized by a predictable annual cycle peaking aggressively in November and December.</w:t>
      </w:r>
    </w:p>
    <w:p>
      <w:pPr>
        <w:keepNext/>
        <w:spacing w:before="240" w:after="80"/>
      </w:pPr>
      <w:r>
        <w:rPr>
          <w:rFonts w:ascii="Calibri" w:hAnsi="Calibri"/>
          <w:b/>
          <w:color w:val="457B9D"/>
          <w:sz w:val="27"/>
        </w:rPr>
        <w:t>I. Analytical Limitation</w:t>
      </w:r>
    </w:p>
    <w:p>
      <w:pPr>
        <w:spacing w:after="80" w:line="276" w:lineRule="auto"/>
      </w:pPr>
      <w:r>
        <w:rPr>
          <w:rFonts w:ascii="Calibri" w:hAnsi="Calibri"/>
          <w:color w:val="2B2D42"/>
          <w:sz w:val="22"/>
        </w:rPr>
        <w:t>The dataset covers four calendar years; while four cycles strongly suggest seasonality, macroeconomic or client contract anomalies cannot be fully isolated.</w:t>
      </w:r>
    </w:p>
    <w:p>
      <w:r>
        <w:br w:type="page"/>
      </w:r>
    </w:p>
    <w:p>
      <w:pPr>
        <w:keepNext/>
        <w:spacing w:before="320" w:after="120"/>
      </w:pPr>
      <w:r>
        <w:rPr>
          <w:rFonts w:ascii="Calibri" w:hAnsi="Calibri"/>
          <w:b/>
          <w:color w:val="1D3557"/>
          <w:sz w:val="34"/>
        </w:rPr>
        <w:t>13. VISUALIZATION 6: BIVARIATE SCATTER: DISCOUNT VS PROFIT</w:t>
      </w:r>
    </w:p>
    <w:p>
      <w:pPr>
        <w:keepNext/>
        <w:spacing w:before="240" w:after="80"/>
      </w:pPr>
      <w:r>
        <w:rPr>
          <w:rFonts w:ascii="Calibri" w:hAnsi="Calibri"/>
          <w:b/>
          <w:color w:val="457B9D"/>
          <w:sz w:val="27"/>
        </w:rPr>
        <w:t>A. Purpose &amp; Analytical Question</w:t>
      </w:r>
    </w:p>
    <w:p>
      <w:pPr>
        <w:spacing w:after="80" w:line="276" w:lineRule="auto"/>
      </w:pPr>
      <w:r>
        <w:rPr>
          <w:rFonts w:ascii="Calibri" w:hAnsi="Calibri"/>
          <w:color w:val="2B2D42"/>
          <w:sz w:val="22"/>
        </w:rPr>
        <w:t>What observable empirical association exists between promotional discount levels and net commercial profit? (RQ6)</w:t>
      </w:r>
    </w:p>
    <w:p>
      <w:pPr>
        <w:keepNext/>
        <w:spacing w:before="240" w:after="80"/>
      </w:pPr>
      <w:r>
        <w:rPr>
          <w:rFonts w:ascii="Calibri" w:hAnsi="Calibri"/>
          <w:b/>
          <w:color w:val="457B9D"/>
          <w:sz w:val="27"/>
        </w:rPr>
        <w:t>B. Variables Represented</w:t>
      </w:r>
    </w:p>
    <w:p>
      <w:pPr>
        <w:spacing w:after="80" w:line="276" w:lineRule="auto"/>
      </w:pPr>
      <w:r>
        <w:rPr>
          <w:rFonts w:ascii="Calibri" w:hAnsi="Calibri"/>
          <w:color w:val="2B2D42"/>
          <w:sz w:val="22"/>
        </w:rPr>
        <w:t>Discount Rate (Continuous independent variable 0% to 80%) and Line-Item Net Profit in USD (Continuous dependent variable).</w:t>
      </w:r>
    </w:p>
    <w:p>
      <w:pPr>
        <w:keepNext/>
        <w:spacing w:before="240" w:after="80"/>
      </w:pPr>
      <w:r>
        <w:rPr>
          <w:rFonts w:ascii="Calibri" w:hAnsi="Calibri"/>
          <w:b/>
          <w:color w:val="457B9D"/>
          <w:sz w:val="27"/>
        </w:rPr>
        <w:t>C. Aggregation Methodology</w:t>
      </w:r>
    </w:p>
    <w:p>
      <w:pPr>
        <w:spacing w:after="80" w:line="276" w:lineRule="auto"/>
      </w:pPr>
      <w:r>
        <w:rPr>
          <w:rFonts w:ascii="Calibri" w:hAnsi="Calibri"/>
          <w:color w:val="2B2D42"/>
          <w:sz w:val="22"/>
        </w:rPr>
        <w:t>All 9,994 transactions plotted as semi-transparent points (alpha = 0.35) with a LOESS non-linear trend line and a highlighted risk zone.</w:t>
      </w:r>
    </w:p>
    <w:p>
      <w:pPr>
        <w:keepNext/>
        <w:spacing w:before="240" w:after="80"/>
      </w:pPr>
      <w:r>
        <w:rPr>
          <w:rFonts w:ascii="Calibri" w:hAnsi="Calibri"/>
          <w:b/>
          <w:color w:val="457B9D"/>
          <w:sz w:val="27"/>
        </w:rPr>
        <w:t>D. R Code Implementation</w:t>
      </w:r>
    </w:p>
    <w:tbl>
      <w:tblPr>
        <w:tblW w:type="auto" w:w="0"/>
        <w:jc w:val="center"/>
        <w:tblLook w:firstColumn="1" w:firstRow="1" w:lastColumn="0" w:lastRow="0" w:noHBand="0" w:noVBand="1" w:val="04A0"/>
      </w:tblPr>
      <w:tblGrid>
        <w:gridCol w:w="9360"/>
      </w:tblGrid>
      <w:tr>
        <w:tc>
          <w:tcPr>
            <w:tcW w:type="dxa" w:w="9360"/>
            <w:shd w:fill="F4F4F6"/>
            <w:tcMar>
              <w:top w:w="100" w:type="dxa"/>
              <w:bottom w:w="100" w:type="dxa"/>
              <w:left w:w="150" w:type="dxa"/>
              <w:right w:w="150" w:type="dxa"/>
            </w:tcMar>
            <w:tcBorders>
              <w:top w:val="single" w:sz="4" w:color="D3D3D3"/>
              <w:left w:val="single" w:sz="18" w:color="457B9D"/>
              <w:bottom w:val="single" w:sz="4" w:color="D3D3D3"/>
              <w:right w:val="single" w:sz="4" w:color="D3D3D3"/>
            </w:tcBorders>
          </w:tcPr>
          <w:p>
            <w:pPr>
              <w:spacing w:after="0" w:line="252" w:lineRule="auto"/>
            </w:pPr>
            <w:r>
              <w:rPr>
                <w:rFonts w:ascii="Consolas" w:hAnsi="Consolas"/>
                <w:color w:val="1E293B"/>
                <w:sz w:val="18"/>
              </w:rPr>
              <w:t># Visualization 6 R Code</w:t>
              <w:br/>
              <w:t>p6 &lt;- ggplot(superstore_clean, aes(x = Discount, y = Profit)) +</w:t>
              <w:br/>
              <w:t xml:space="preserve">  geom_hline(yintercept = 0, color = "gray40", linetype = "dashed") +</w:t>
              <w:br/>
              <w:t xml:space="preserve">  geom_point(aes(color = Profit &gt;= 0), alpha = 0.35, size = 1.8) +</w:t>
              <w:br/>
              <w:t xml:space="preserve">  geom_smooth(method = "loess", color = col_crimson, fill = "gray80", linewidth = 1.1) +</w:t>
              <w:br/>
              <w:t xml:space="preserve">  scale_x_continuous(labels = percent_format(accuracy = 1), breaks = seq(0, 0.8, 0.1)) +</w:t>
              <w:br/>
              <w:t xml:space="preserve">  scale_y_continuous(labels = dollar_format(prefix = "$"), breaks = seq(-6000, 8000, 2000)) +</w:t>
              <w:br/>
              <w:t xml:space="preserve">  scale_color_manual(values = c("TRUE" = col_slate, "FALSE" = col_crimson)) +</w:t>
              <w:br/>
              <w:t xml:space="preserve">  annotate("rect", xmin = 0.25, xmax = 0.82, ymin = -6800, ymax = -50, alpha = 0.08, fill = col_crimson) +</w:t>
              <w:br/>
              <w:t xml:space="preserve">  labs(title = "Visualization 6: Observed Association Between Discount Level and Transaction Profit",</w:t>
              <w:br/>
              <w:t xml:space="preserve">       subtitle = "Empirical association reveals steep profit deterioration above 20% discount (Spearman: r_s = -0.543)",</w:t>
              <w:br/>
              <w:t xml:space="preserve">       x = "Promotional Discount Applied (%)", y = "Net Profit in USD") + theme_superstore()</w:t>
            </w:r>
          </w:p>
        </w:tc>
      </w:tr>
    </w:tbl>
    <w:p>
      <w:pPr>
        <w:spacing w:after="40"/>
      </w:pPr>
    </w:p>
    <w:p>
      <w:pPr>
        <w:keepNext/>
        <w:spacing w:before="240" w:after="80"/>
      </w:pPr>
      <w:r>
        <w:rPr>
          <w:rFonts w:ascii="Calibri" w:hAnsi="Calibri"/>
          <w:b/>
          <w:color w:val="457B9D"/>
          <w:sz w:val="27"/>
        </w:rPr>
        <w:t>E. Visualization Display</w:t>
      </w:r>
    </w:p>
    <w:p>
      <w:pPr>
        <w:spacing w:before="120" w:after="40"/>
        <w:jc w:val="center"/>
      </w:pPr>
      <w:r>
        <w:drawing>
          <wp:inline xmlns:a="http://schemas.openxmlformats.org/drawingml/2006/main" xmlns:pic="http://schemas.openxmlformats.org/drawingml/2006/picture">
            <wp:extent cx="5577840" cy="3346704"/>
            <wp:docPr id="6" name="Picture 6"/>
            <wp:cNvGraphicFramePr>
              <a:graphicFrameLocks noChangeAspect="1"/>
            </wp:cNvGraphicFramePr>
            <a:graphic>
              <a:graphicData uri="http://schemas.openxmlformats.org/drawingml/2006/picture">
                <pic:pic>
                  <pic:nvPicPr>
                    <pic:cNvPr id="0" name="06_discount_vs_profit.png"/>
                    <pic:cNvPicPr/>
                  </pic:nvPicPr>
                  <pic:blipFill>
                    <a:blip r:embed="rId15"/>
                    <a:stretch>
                      <a:fillRect/>
                    </a:stretch>
                  </pic:blipFill>
                  <pic:spPr>
                    <a:xfrm>
                      <a:off x="0" y="0"/>
                      <a:ext cx="5577840" cy="3346704"/>
                    </a:xfrm>
                    <a:prstGeom prst="rect"/>
                  </pic:spPr>
                </pic:pic>
              </a:graphicData>
            </a:graphic>
          </wp:inline>
        </w:drawing>
      </w:r>
    </w:p>
    <w:p>
      <w:pPr>
        <w:spacing w:after="160"/>
        <w:jc w:val="center"/>
      </w:pPr>
      <w:r>
        <w:rPr>
          <w:rFonts w:ascii="Calibri" w:hAnsi="Calibri"/>
          <w:i/>
          <w:color w:val="6C757D"/>
          <w:sz w:val="19"/>
        </w:rPr>
        <w:t>Figure 6: Scatter plot of promotional discount rate versus transaction profit.</w:t>
      </w:r>
    </w:p>
    <w:p>
      <w:pPr>
        <w:keepNext/>
        <w:spacing w:before="240" w:after="80"/>
      </w:pPr>
      <w:r>
        <w:rPr>
          <w:rFonts w:ascii="Calibri" w:hAnsi="Calibri"/>
          <w:b/>
          <w:color w:val="457B9D"/>
          <w:sz w:val="27"/>
        </w:rPr>
        <w:t>F. Visual Observations</w:t>
      </w:r>
    </w:p>
    <w:p>
      <w:pPr>
        <w:spacing w:after="80" w:line="276" w:lineRule="auto"/>
      </w:pPr>
      <w:r>
        <w:rPr>
          <w:rFonts w:ascii="Calibri" w:hAnsi="Calibri"/>
          <w:color w:val="2B2D42"/>
          <w:sz w:val="22"/>
        </w:rPr>
        <w:t>At 0% discount, transactions are overwhelmingly profitable, clustering tightly above the breakeven line with profits reaching +$8,400. At moderate discounts (10% to 20%), profitability remains positive. However, once discounts cross the 20% threshold, the distribution collapses. At 30%, 40%, 50%, 70%, and 80% discount rates, virtually all transactions fall below the breakeven line, with catastrophic losses cascading down to -$6,599.98.</w:t>
      </w:r>
    </w:p>
    <w:p>
      <w:pPr>
        <w:keepNext/>
        <w:spacing w:before="240" w:after="80"/>
      </w:pPr>
      <w:r>
        <w:rPr>
          <w:rFonts w:ascii="Calibri" w:hAnsi="Calibri"/>
          <w:b/>
          <w:color w:val="457B9D"/>
          <w:sz w:val="27"/>
        </w:rPr>
        <w:t>G. Empirical Interpretation &amp; Correlation Caveat</w:t>
      </w:r>
    </w:p>
    <w:p>
      <w:pPr>
        <w:spacing w:after="80" w:line="276" w:lineRule="auto"/>
      </w:pPr>
      <w:r>
        <w:rPr>
          <w:rFonts w:ascii="Calibri" w:hAnsi="Calibri"/>
          <w:color w:val="2B2D42"/>
          <w:sz w:val="22"/>
        </w:rPr>
        <w:t>The empirical data demonstrates an unmistakable negative association between discount rate and net profit (Pearson r = -0.2195, Spearman rank r_s = -0.5434). Adhering to statistical rigor: this observed association does not prove direct causation. For example, retailers often apply steep discounts to obsolete, damaged, or slow-moving stock that was already destined for margin impairment. Nevertheless, the visual evidence demonstrates that deep discounting fails to preserve commercial viability; rather than stimulating profitable incremental volume, discounts above 20% systematically generate catastrophic commercial deficits.</w:t>
      </w:r>
    </w:p>
    <w:p>
      <w:pPr>
        <w:keepNext/>
        <w:spacing w:before="240" w:after="80"/>
      </w:pPr>
      <w:r>
        <w:rPr>
          <w:rFonts w:ascii="Calibri" w:hAnsi="Calibri"/>
          <w:b/>
          <w:color w:val="457B9D"/>
          <w:sz w:val="27"/>
        </w:rPr>
        <w:t>H. Key Insight</w:t>
      </w:r>
    </w:p>
    <w:p>
      <w:pPr>
        <w:spacing w:after="80" w:line="276" w:lineRule="auto"/>
      </w:pPr>
      <w:r>
        <w:rPr>
          <w:rFonts w:ascii="Calibri" w:hAnsi="Calibri"/>
          <w:color w:val="2B2D42"/>
          <w:sz w:val="22"/>
        </w:rPr>
        <w:t>A critical 'discount cliff' exists at 20%. Promotional discounts exceeding 20% are almost universally associated with severe commercial losses.</w:t>
      </w:r>
    </w:p>
    <w:p>
      <w:pPr>
        <w:keepNext/>
        <w:spacing w:before="240" w:after="80"/>
      </w:pPr>
      <w:r>
        <w:rPr>
          <w:rFonts w:ascii="Calibri" w:hAnsi="Calibri"/>
          <w:b/>
          <w:color w:val="457B9D"/>
          <w:sz w:val="27"/>
        </w:rPr>
        <w:t>I. Analytical Limitation</w:t>
      </w:r>
    </w:p>
    <w:p>
      <w:pPr>
        <w:spacing w:after="80" w:line="276" w:lineRule="auto"/>
      </w:pPr>
      <w:r>
        <w:rPr>
          <w:rFonts w:ascii="Calibri" w:hAnsi="Calibri"/>
          <w:color w:val="2B2D42"/>
          <w:sz w:val="22"/>
        </w:rPr>
        <w:t>Observational data cannot isolate customer price elasticity; we cannot determine how many sales would have been lost had discounts not been offered.</w:t>
      </w:r>
    </w:p>
    <w:p>
      <w:r>
        <w:br w:type="page"/>
      </w:r>
    </w:p>
    <w:p>
      <w:pPr>
        <w:keepNext/>
        <w:spacing w:before="320" w:after="120"/>
      </w:pPr>
      <w:r>
        <w:rPr>
          <w:rFonts w:ascii="Calibri" w:hAnsi="Calibri"/>
          <w:b/>
          <w:color w:val="1D3557"/>
          <w:sz w:val="34"/>
        </w:rPr>
        <w:t>14. VISUALIZATION 7: BIVARIATE SCATTER: SALES VS PROFIT</w:t>
      </w:r>
    </w:p>
    <w:p>
      <w:pPr>
        <w:keepNext/>
        <w:spacing w:before="240" w:after="80"/>
      </w:pPr>
      <w:r>
        <w:rPr>
          <w:rFonts w:ascii="Calibri" w:hAnsi="Calibri"/>
          <w:b/>
          <w:color w:val="457B9D"/>
          <w:sz w:val="27"/>
        </w:rPr>
        <w:t>A. Purpose &amp; Analytical Question</w:t>
      </w:r>
    </w:p>
    <w:p>
      <w:pPr>
        <w:spacing w:after="80" w:line="276" w:lineRule="auto"/>
      </w:pPr>
      <w:r>
        <w:rPr>
          <w:rFonts w:ascii="Calibri" w:hAnsi="Calibri"/>
          <w:color w:val="2B2D42"/>
          <w:sz w:val="22"/>
        </w:rPr>
        <w:t>Do higher-sales transactions consistently correspond to higher net profits, and how does category variance behave? (RQ7)</w:t>
      </w:r>
    </w:p>
    <w:p>
      <w:pPr>
        <w:keepNext/>
        <w:spacing w:before="240" w:after="80"/>
      </w:pPr>
      <w:r>
        <w:rPr>
          <w:rFonts w:ascii="Calibri" w:hAnsi="Calibri"/>
          <w:b/>
          <w:color w:val="457B9D"/>
          <w:sz w:val="27"/>
        </w:rPr>
        <w:t>B. Variables Represented</w:t>
      </w:r>
    </w:p>
    <w:p>
      <w:pPr>
        <w:spacing w:after="80" w:line="276" w:lineRule="auto"/>
      </w:pPr>
      <w:r>
        <w:rPr>
          <w:rFonts w:ascii="Calibri" w:hAnsi="Calibri"/>
          <w:color w:val="2B2D42"/>
          <w:sz w:val="22"/>
        </w:rPr>
        <w:t>Transaction Sales Revenue (X-axis in USD), Transaction Net Profit (Y-axis in USD), and Category (Color encoding).</w:t>
      </w:r>
    </w:p>
    <w:p>
      <w:pPr>
        <w:keepNext/>
        <w:spacing w:before="240" w:after="80"/>
      </w:pPr>
      <w:r>
        <w:rPr>
          <w:rFonts w:ascii="Calibri" w:hAnsi="Calibri"/>
          <w:b/>
          <w:color w:val="457B9D"/>
          <w:sz w:val="27"/>
        </w:rPr>
        <w:t>C. Aggregation Methodology</w:t>
      </w:r>
    </w:p>
    <w:p>
      <w:pPr>
        <w:spacing w:after="80" w:line="276" w:lineRule="auto"/>
      </w:pPr>
      <w:r>
        <w:rPr>
          <w:rFonts w:ascii="Calibri" w:hAnsi="Calibri"/>
          <w:color w:val="2B2D42"/>
          <w:sz w:val="22"/>
        </w:rPr>
        <w:t>Individual transaction points (N = 9,994) plotted with Category color mapping, reference line at $0, and annotated outlier extremes.</w:t>
      </w:r>
    </w:p>
    <w:p>
      <w:pPr>
        <w:keepNext/>
        <w:spacing w:before="240" w:after="80"/>
      </w:pPr>
      <w:r>
        <w:rPr>
          <w:rFonts w:ascii="Calibri" w:hAnsi="Calibri"/>
          <w:b/>
          <w:color w:val="457B9D"/>
          <w:sz w:val="27"/>
        </w:rPr>
        <w:t>D. R Code Implementation</w:t>
      </w:r>
    </w:p>
    <w:tbl>
      <w:tblPr>
        <w:tblW w:type="auto" w:w="0"/>
        <w:jc w:val="center"/>
        <w:tblLook w:firstColumn="1" w:firstRow="1" w:lastColumn="0" w:lastRow="0" w:noHBand="0" w:noVBand="1" w:val="04A0"/>
      </w:tblPr>
      <w:tblGrid>
        <w:gridCol w:w="9360"/>
      </w:tblGrid>
      <w:tr>
        <w:tc>
          <w:tcPr>
            <w:tcW w:type="dxa" w:w="9360"/>
            <w:shd w:fill="F4F4F6"/>
            <w:tcMar>
              <w:top w:w="100" w:type="dxa"/>
              <w:bottom w:w="100" w:type="dxa"/>
              <w:left w:w="150" w:type="dxa"/>
              <w:right w:w="150" w:type="dxa"/>
            </w:tcMar>
            <w:tcBorders>
              <w:top w:val="single" w:sz="4" w:color="D3D3D3"/>
              <w:left w:val="single" w:sz="18" w:color="457B9D"/>
              <w:bottom w:val="single" w:sz="4" w:color="D3D3D3"/>
              <w:right w:val="single" w:sz="4" w:color="D3D3D3"/>
            </w:tcBorders>
          </w:tcPr>
          <w:p>
            <w:pPr>
              <w:spacing w:after="0" w:line="252" w:lineRule="auto"/>
            </w:pPr>
            <w:r>
              <w:rPr>
                <w:rFonts w:ascii="Consolas" w:hAnsi="Consolas"/>
                <w:color w:val="1E293B"/>
                <w:sz w:val="18"/>
              </w:rPr>
              <w:t># Visualization 7 R Code</w:t>
              <w:br/>
              <w:t>p7 &lt;- ggplot(superstore_clean, aes(x = Sales, y = Profit, color = Category)) +</w:t>
              <w:br/>
              <w:t xml:space="preserve">  geom_hline(yintercept = 0, color = "gray30", linetype = "dashed") +</w:t>
              <w:br/>
              <w:t xml:space="preserve">  geom_point(alpha = 0.45, size = 2.0) +</w:t>
              <w:br/>
              <w:t xml:space="preserve">  scale_x_continuous(labels = dollar_format(prefix = "$"), breaks = seq(0, 24000, 4000)) +</w:t>
              <w:br/>
              <w:t xml:space="preserve">  scale_y_continuous(labels = dollar_format(prefix = "$"), breaks = seq(-6000, 8000, 2000)) +</w:t>
              <w:br/>
              <w:t xml:space="preserve">  scale_color_manual(values = superstore_palette) +</w:t>
              <w:br/>
              <w:t xml:space="preserve">  annotate("text", x = 18000, y = 7800, label = "Top Profit: Technology Copiers (+$8.4K)", color = "#2B7A78", fontface = "bold") +</w:t>
              <w:br/>
              <w:t xml:space="preserve">  annotate("text", x = 11000, y = -6200, label = "Deepest Loss: Technology Machines (-$6.6K)", color = col_crimson, fontface = "bold") +</w:t>
              <w:br/>
              <w:t xml:space="preserve">  labs(title = "Visualization 7: Bivariate Relationship Between Sales Revenue and Net Profit",</w:t>
              <w:br/>
              <w:t xml:space="preserve">       subtitle = "The spread of profit widens dramatically as sales increase; high sales do not guarantee high profits",</w:t>
              <w:br/>
              <w:t xml:space="preserve">       x = "Transaction Sales Revenue (USD)", y = "Transaction Net Profit (USD)") + theme_superstore()</w:t>
            </w:r>
          </w:p>
        </w:tc>
      </w:tr>
    </w:tbl>
    <w:p>
      <w:pPr>
        <w:spacing w:after="40"/>
      </w:pPr>
    </w:p>
    <w:p>
      <w:pPr>
        <w:keepNext/>
        <w:spacing w:before="240" w:after="80"/>
      </w:pPr>
      <w:r>
        <w:rPr>
          <w:rFonts w:ascii="Calibri" w:hAnsi="Calibri"/>
          <w:b/>
          <w:color w:val="457B9D"/>
          <w:sz w:val="27"/>
        </w:rPr>
        <w:t>E. Visualization Display</w:t>
      </w:r>
    </w:p>
    <w:p>
      <w:pPr>
        <w:spacing w:before="120" w:after="40"/>
        <w:jc w:val="center"/>
      </w:pPr>
      <w:r>
        <w:drawing>
          <wp:inline xmlns:a="http://schemas.openxmlformats.org/drawingml/2006/main" xmlns:pic="http://schemas.openxmlformats.org/drawingml/2006/picture">
            <wp:extent cx="5577840" cy="3346704"/>
            <wp:docPr id="7" name="Picture 7"/>
            <wp:cNvGraphicFramePr>
              <a:graphicFrameLocks noChangeAspect="1"/>
            </wp:cNvGraphicFramePr>
            <a:graphic>
              <a:graphicData uri="http://schemas.openxmlformats.org/drawingml/2006/picture">
                <pic:pic>
                  <pic:nvPicPr>
                    <pic:cNvPr id="0" name="07_sales_vs_profit.png"/>
                    <pic:cNvPicPr/>
                  </pic:nvPicPr>
                  <pic:blipFill>
                    <a:blip r:embed="rId16"/>
                    <a:stretch>
                      <a:fillRect/>
                    </a:stretch>
                  </pic:blipFill>
                  <pic:spPr>
                    <a:xfrm>
                      <a:off x="0" y="0"/>
                      <a:ext cx="5577840" cy="3346704"/>
                    </a:xfrm>
                    <a:prstGeom prst="rect"/>
                  </pic:spPr>
                </pic:pic>
              </a:graphicData>
            </a:graphic>
          </wp:inline>
        </w:drawing>
      </w:r>
    </w:p>
    <w:p>
      <w:pPr>
        <w:spacing w:after="160"/>
        <w:jc w:val="center"/>
      </w:pPr>
      <w:r>
        <w:rPr>
          <w:rFonts w:ascii="Calibri" w:hAnsi="Calibri"/>
          <w:i/>
          <w:color w:val="6C757D"/>
          <w:sz w:val="19"/>
        </w:rPr>
        <w:t>Figure 7: Bivariate scatter plot of transaction sales revenue versus net profit.</w:t>
      </w:r>
    </w:p>
    <w:p>
      <w:pPr>
        <w:keepNext/>
        <w:spacing w:before="240" w:after="80"/>
      </w:pPr>
      <w:r>
        <w:rPr>
          <w:rFonts w:ascii="Calibri" w:hAnsi="Calibri"/>
          <w:b/>
          <w:color w:val="457B9D"/>
          <w:sz w:val="27"/>
        </w:rPr>
        <w:t>F. Visual Observations</w:t>
      </w:r>
    </w:p>
    <w:p>
      <w:pPr>
        <w:spacing w:after="80" w:line="276" w:lineRule="auto"/>
      </w:pPr>
      <w:r>
        <w:rPr>
          <w:rFonts w:ascii="Calibri" w:hAnsi="Calibri"/>
          <w:color w:val="2B2D42"/>
          <w:sz w:val="22"/>
        </w:rPr>
        <w:t>For transactions under $1,000, data points cluster tightly around the horizontal axis. As sales revenue increases past $2,000, $5,000, and $10,000, the distribution flares outward into an expansive cone of dispersion. High-revenue transactions diverge into two opposite extremes: massive profits (up to +$8,399.98 in Copiers) and devastating losses (down to -$6,599.98 in Machines and -$3,701.89 in Binders).</w:t>
      </w:r>
    </w:p>
    <w:p>
      <w:pPr>
        <w:keepNext/>
        <w:spacing w:before="240" w:after="80"/>
      </w:pPr>
      <w:r>
        <w:rPr>
          <w:rFonts w:ascii="Calibri" w:hAnsi="Calibri"/>
          <w:b/>
          <w:color w:val="457B9D"/>
          <w:sz w:val="27"/>
        </w:rPr>
        <w:t>G. Empirical Interpretation</w:t>
      </w:r>
    </w:p>
    <w:p>
      <w:pPr>
        <w:spacing w:after="80" w:line="276" w:lineRule="auto"/>
      </w:pPr>
      <w:r>
        <w:rPr>
          <w:rFonts w:ascii="Calibri" w:hAnsi="Calibri"/>
          <w:color w:val="2B2D42"/>
          <w:sz w:val="22"/>
        </w:rPr>
        <w:t>In statistical terminology, the bivariate distribution exhibits dramatic heteroscedasticity: the variance of profit increases systematically with sales volume. In executive terms: high revenue amplifies risk. A large order sold at full price generates extraordinary profits, but that same large order sold under a steep discount produces an enterprise-threatening deficit. Large commercial deals carry immense margin sensitivity and must be protected by strict corporate pricing guardrails.</w:t>
      </w:r>
    </w:p>
    <w:p>
      <w:pPr>
        <w:keepNext/>
        <w:spacing w:before="240" w:after="80"/>
      </w:pPr>
      <w:r>
        <w:rPr>
          <w:rFonts w:ascii="Calibri" w:hAnsi="Calibri"/>
          <w:b/>
          <w:color w:val="457B9D"/>
          <w:sz w:val="27"/>
        </w:rPr>
        <w:t>H. Key Insight</w:t>
      </w:r>
    </w:p>
    <w:p>
      <w:pPr>
        <w:spacing w:after="80" w:line="276" w:lineRule="auto"/>
      </w:pPr>
      <w:r>
        <w:rPr>
          <w:rFonts w:ascii="Calibri" w:hAnsi="Calibri"/>
          <w:color w:val="2B2D42"/>
          <w:sz w:val="22"/>
        </w:rPr>
        <w:t>High sales revenue does not guarantee profitability. Revenue acts as a margin multiplier: large transactions generate either extraordinary profits or catastrophic losses.</w:t>
      </w:r>
    </w:p>
    <w:p>
      <w:pPr>
        <w:keepNext/>
        <w:spacing w:before="240" w:after="80"/>
      </w:pPr>
      <w:r>
        <w:rPr>
          <w:rFonts w:ascii="Calibri" w:hAnsi="Calibri"/>
          <w:b/>
          <w:color w:val="457B9D"/>
          <w:sz w:val="27"/>
        </w:rPr>
        <w:t>I. Analytical Limitation</w:t>
      </w:r>
    </w:p>
    <w:p>
      <w:pPr>
        <w:spacing w:after="80" w:line="276" w:lineRule="auto"/>
      </w:pPr>
      <w:r>
        <w:rPr>
          <w:rFonts w:ascii="Calibri" w:hAnsi="Calibri"/>
          <w:color w:val="2B2D42"/>
          <w:sz w:val="22"/>
        </w:rPr>
        <w:t>The scatter plot captures gross transactional margins; it does not reflect customer-specific financing terms, return policies, or after-sales service costs.</w:t>
      </w:r>
    </w:p>
    <w:p>
      <w:r>
        <w:br w:type="page"/>
      </w:r>
    </w:p>
    <w:p>
      <w:pPr>
        <w:keepNext/>
        <w:spacing w:before="320" w:after="120"/>
      </w:pPr>
      <w:r>
        <w:rPr>
          <w:rFonts w:ascii="Calibri" w:hAnsi="Calibri"/>
          <w:b/>
          <w:color w:val="1D3557"/>
          <w:sz w:val="34"/>
        </w:rPr>
        <w:t>15. VISUALIZATION 8: NET PROFITABILITY ACROSS SUB-CATEGORIES</w:t>
      </w:r>
    </w:p>
    <w:p>
      <w:pPr>
        <w:keepNext/>
        <w:spacing w:before="240" w:after="80"/>
      </w:pPr>
      <w:r>
        <w:rPr>
          <w:rFonts w:ascii="Calibri" w:hAnsi="Calibri"/>
          <w:b/>
          <w:color w:val="457B9D"/>
          <w:sz w:val="27"/>
        </w:rPr>
        <w:t>A. Purpose &amp; Analytical Question</w:t>
      </w:r>
    </w:p>
    <w:p>
      <w:pPr>
        <w:spacing w:after="80" w:line="276" w:lineRule="auto"/>
      </w:pPr>
      <w:r>
        <w:rPr>
          <w:rFonts w:ascii="Calibri" w:hAnsi="Calibri"/>
          <w:color w:val="2B2D42"/>
          <w:sz w:val="22"/>
        </w:rPr>
        <w:t>Which product sub-categories contribute most strongly to enterprise profitability, and which operate as structural deficits? (RQ10)</w:t>
      </w:r>
    </w:p>
    <w:p>
      <w:pPr>
        <w:keepNext/>
        <w:spacing w:before="240" w:after="80"/>
      </w:pPr>
      <w:r>
        <w:rPr>
          <w:rFonts w:ascii="Calibri" w:hAnsi="Calibri"/>
          <w:b/>
          <w:color w:val="457B9D"/>
          <w:sz w:val="27"/>
        </w:rPr>
        <w:t>B. Variables Represented</w:t>
      </w:r>
    </w:p>
    <w:p>
      <w:pPr>
        <w:spacing w:after="80" w:line="276" w:lineRule="auto"/>
      </w:pPr>
      <w:r>
        <w:rPr>
          <w:rFonts w:ascii="Calibri" w:hAnsi="Calibri"/>
          <w:color w:val="2B2D42"/>
          <w:sz w:val="22"/>
        </w:rPr>
        <w:t>Sub-Category (17 discrete factor levels), Cumulative Net Profit in USD, and Profitability Status (Diverging boolean fill).</w:t>
      </w:r>
    </w:p>
    <w:p>
      <w:pPr>
        <w:keepNext/>
        <w:spacing w:before="240" w:after="80"/>
      </w:pPr>
      <w:r>
        <w:rPr>
          <w:rFonts w:ascii="Calibri" w:hAnsi="Calibri"/>
          <w:b/>
          <w:color w:val="457B9D"/>
          <w:sz w:val="27"/>
        </w:rPr>
        <w:t>C. Aggregation Methodology</w:t>
      </w:r>
    </w:p>
    <w:p>
      <w:pPr>
        <w:spacing w:after="80" w:line="276" w:lineRule="auto"/>
      </w:pPr>
      <w:r>
        <w:rPr>
          <w:rFonts w:ascii="Calibri" w:hAnsi="Calibri"/>
          <w:color w:val="2B2D42"/>
          <w:sz w:val="22"/>
        </w:rPr>
        <w:t>Aggregated via sum(Profit), sorted descending by total net profit, and rendered as a diverging horizontal bar chart centered on zero.</w:t>
      </w:r>
    </w:p>
    <w:p>
      <w:pPr>
        <w:keepNext/>
        <w:spacing w:before="240" w:after="80"/>
      </w:pPr>
      <w:r>
        <w:rPr>
          <w:rFonts w:ascii="Calibri" w:hAnsi="Calibri"/>
          <w:b/>
          <w:color w:val="457B9D"/>
          <w:sz w:val="27"/>
        </w:rPr>
        <w:t>D. R Code Implementation</w:t>
      </w:r>
    </w:p>
    <w:tbl>
      <w:tblPr>
        <w:tblW w:type="auto" w:w="0"/>
        <w:jc w:val="center"/>
        <w:tblLook w:firstColumn="1" w:firstRow="1" w:lastColumn="0" w:lastRow="0" w:noHBand="0" w:noVBand="1" w:val="04A0"/>
      </w:tblPr>
      <w:tblGrid>
        <w:gridCol w:w="9360"/>
      </w:tblGrid>
      <w:tr>
        <w:tc>
          <w:tcPr>
            <w:tcW w:type="dxa" w:w="9360"/>
            <w:shd w:fill="F4F4F6"/>
            <w:tcMar>
              <w:top w:w="100" w:type="dxa"/>
              <w:bottom w:w="100" w:type="dxa"/>
              <w:left w:w="150" w:type="dxa"/>
              <w:right w:w="150" w:type="dxa"/>
            </w:tcMar>
            <w:tcBorders>
              <w:top w:val="single" w:sz="4" w:color="D3D3D3"/>
              <w:left w:val="single" w:sz="18" w:color="457B9D"/>
              <w:bottom w:val="single" w:sz="4" w:color="D3D3D3"/>
              <w:right w:val="single" w:sz="4" w:color="D3D3D3"/>
            </w:tcBorders>
          </w:tcPr>
          <w:p>
            <w:pPr>
              <w:spacing w:after="0" w:line="252" w:lineRule="auto"/>
            </w:pPr>
            <w:r>
              <w:rPr>
                <w:rFonts w:ascii="Consolas" w:hAnsi="Consolas"/>
                <w:color w:val="1E293B"/>
                <w:sz w:val="18"/>
              </w:rPr>
              <w:t># Visualization 8 R Code</w:t>
              <w:br/>
              <w:t>p8 &lt;- ggplot(subcat_data, aes(x = reorder(Sub_Category, Total_Profit), y = Total_Profit, fill = Is_Profitable)) +</w:t>
              <w:br/>
              <w:t xml:space="preserve">  geom_col(width = 0.7) +</w:t>
              <w:br/>
              <w:t xml:space="preserve">  geom_hline(yintercept = 0, color = "black", linewidth = 0.9) +</w:t>
              <w:br/>
              <w:t xml:space="preserve">  geom_text(aes(label = Profit_Label, hjust = ifelse(Total_Profit &gt;= 0, -0.15, 1.15)), fontface = "bold") +</w:t>
              <w:br/>
              <w:t xml:space="preserve">  coord_flip() +</w:t>
              <w:br/>
              <w:t xml:space="preserve">  scale_y_continuous(labels = dollar_format(prefix = "$", scale = 1e-3, suffix = "K"), expand = expansion(mult = c(0.18, 0.22))) +</w:t>
              <w:br/>
              <w:t xml:space="preserve">  scale_fill_manual(values = c("TRUE" = col_teal, "FALSE" = col_crimson)) +</w:t>
              <w:br/>
              <w:t xml:space="preserve">  labs(title = "Visualization 8: Net Profitability Across Product Sub-Categories (Diverging)",</w:t>
              <w:br/>
              <w:t xml:space="preserve">       subtitle = "Copiers lead (+$55.6K), while Tables (-$17.7K), Bookcases (-$3.5K), and Supplies (-$1.2K) operate at deficits",</w:t>
              <w:br/>
              <w:t xml:space="preserve">       x = "Product Sub-Category", y = "Cumulative Net Profit (USD)") + theme_superstore()</w:t>
            </w:r>
          </w:p>
        </w:tc>
      </w:tr>
    </w:tbl>
    <w:p>
      <w:pPr>
        <w:spacing w:after="40"/>
      </w:pPr>
    </w:p>
    <w:p>
      <w:pPr>
        <w:keepNext/>
        <w:spacing w:before="240" w:after="80"/>
      </w:pPr>
      <w:r>
        <w:rPr>
          <w:rFonts w:ascii="Calibri" w:hAnsi="Calibri"/>
          <w:b/>
          <w:color w:val="457B9D"/>
          <w:sz w:val="27"/>
        </w:rPr>
        <w:t>E. Visualization Display</w:t>
      </w:r>
    </w:p>
    <w:p>
      <w:pPr>
        <w:spacing w:before="120" w:after="40"/>
        <w:jc w:val="center"/>
      </w:pPr>
      <w:r>
        <w:drawing>
          <wp:inline xmlns:a="http://schemas.openxmlformats.org/drawingml/2006/main" xmlns:pic="http://schemas.openxmlformats.org/drawingml/2006/picture">
            <wp:extent cx="5577840" cy="3904488"/>
            <wp:docPr id="8" name="Picture 8"/>
            <wp:cNvGraphicFramePr>
              <a:graphicFrameLocks noChangeAspect="1"/>
            </wp:cNvGraphicFramePr>
            <a:graphic>
              <a:graphicData uri="http://schemas.openxmlformats.org/drawingml/2006/picture">
                <pic:pic>
                  <pic:nvPicPr>
                    <pic:cNvPr id="0" name="08_profit_by_subcategory.png"/>
                    <pic:cNvPicPr/>
                  </pic:nvPicPr>
                  <pic:blipFill>
                    <a:blip r:embed="rId17"/>
                    <a:stretch>
                      <a:fillRect/>
                    </a:stretch>
                  </pic:blipFill>
                  <pic:spPr>
                    <a:xfrm>
                      <a:off x="0" y="0"/>
                      <a:ext cx="5577840" cy="3904488"/>
                    </a:xfrm>
                    <a:prstGeom prst="rect"/>
                  </pic:spPr>
                </pic:pic>
              </a:graphicData>
            </a:graphic>
          </wp:inline>
        </w:drawing>
      </w:r>
    </w:p>
    <w:p>
      <w:pPr>
        <w:spacing w:after="160"/>
        <w:jc w:val="center"/>
      </w:pPr>
      <w:r>
        <w:rPr>
          <w:rFonts w:ascii="Calibri" w:hAnsi="Calibri"/>
          <w:i/>
          <w:color w:val="6C757D"/>
          <w:sz w:val="19"/>
        </w:rPr>
        <w:t>Figure 8: Diverging horizontal bar chart of cumulative net profit across all 17 sub-categories.</w:t>
      </w:r>
    </w:p>
    <w:p>
      <w:pPr>
        <w:keepNext/>
        <w:spacing w:before="240" w:after="80"/>
      </w:pPr>
      <w:r>
        <w:rPr>
          <w:rFonts w:ascii="Calibri" w:hAnsi="Calibri"/>
          <w:b/>
          <w:color w:val="457B9D"/>
          <w:sz w:val="27"/>
        </w:rPr>
        <w:t>F. Visual Observations</w:t>
      </w:r>
    </w:p>
    <w:p>
      <w:pPr>
        <w:spacing w:after="80" w:line="276" w:lineRule="auto"/>
      </w:pPr>
      <w:r>
        <w:rPr>
          <w:rFonts w:ascii="Calibri" w:hAnsi="Calibri"/>
          <w:color w:val="2B2D42"/>
          <w:sz w:val="22"/>
        </w:rPr>
        <w:t>Fourteen sub-categories generate cumulative net profits, led by Copiers (+$55,617.82), Phones (+$44,515.73), Accessories (+$41,936.64), Paper (+$34,053.57), and Binders (+$30,221.76). Conversely, three sub-categories operate in deep structural deficits: Tables (-$17,725.48), Bookcases (-$3,472.56), and Supplies (-$1,189.10). Notably, Tables alone wipes out more than $17,700 in enterprise earnings.</w:t>
      </w:r>
    </w:p>
    <w:p>
      <w:pPr>
        <w:keepNext/>
        <w:spacing w:before="240" w:after="80"/>
      </w:pPr>
      <w:r>
        <w:rPr>
          <w:rFonts w:ascii="Calibri" w:hAnsi="Calibri"/>
          <w:b/>
          <w:color w:val="457B9D"/>
          <w:sz w:val="27"/>
        </w:rPr>
        <w:t>G. Empirical Interpretation (The Furniture Mystery Solved)</w:t>
      </w:r>
    </w:p>
    <w:p>
      <w:pPr>
        <w:spacing w:after="80" w:line="276" w:lineRule="auto"/>
      </w:pPr>
      <w:r>
        <w:rPr>
          <w:rFonts w:ascii="Calibri" w:hAnsi="Calibri"/>
          <w:color w:val="2B2D42"/>
          <w:sz w:val="22"/>
        </w:rPr>
        <w:t>Visualization 8 completely deconstructs the 'Furniture Paradox' identified in Visualization 2. Within the Furniture division, Chairs (+$26,590.17) and Furnishings (+$13,059.14) are actually highly profitable. However, their combined surplus of $39.6K is decimated by massive losses in Tables (-$17.7K) and Bookcases (-$3.5K), dragging net Furniture profit down to just $18.5K. Tables suffer from an aggressive 26.13% average discount rate combined with high manufacturing and freight logistics costs. Tables and Bookcases represent the direct operational root cause of Furniture's margin collapse.</w:t>
      </w:r>
    </w:p>
    <w:p>
      <w:pPr>
        <w:keepNext/>
        <w:spacing w:before="240" w:after="80"/>
      </w:pPr>
      <w:r>
        <w:rPr>
          <w:rFonts w:ascii="Calibri" w:hAnsi="Calibri"/>
          <w:b/>
          <w:color w:val="457B9D"/>
          <w:sz w:val="27"/>
        </w:rPr>
        <w:t>H. Key Insight</w:t>
      </w:r>
    </w:p>
    <w:p>
      <w:pPr>
        <w:spacing w:after="80" w:line="276" w:lineRule="auto"/>
      </w:pPr>
      <w:r>
        <w:rPr>
          <w:rFonts w:ascii="Calibri" w:hAnsi="Calibri"/>
          <w:color w:val="2B2D42"/>
          <w:sz w:val="22"/>
        </w:rPr>
        <w:t>The Furniture profitability crisis is concentrated in Tables (-$17.7K) and Bookcases (-$3.5K). Eliminating deficits in these two lines would instantly double Furniture profitability.</w:t>
      </w:r>
    </w:p>
    <w:p>
      <w:pPr>
        <w:keepNext/>
        <w:spacing w:before="240" w:after="80"/>
      </w:pPr>
      <w:r>
        <w:rPr>
          <w:rFonts w:ascii="Calibri" w:hAnsi="Calibri"/>
          <w:b/>
          <w:color w:val="457B9D"/>
          <w:sz w:val="27"/>
        </w:rPr>
        <w:t>I. Analytical Limitation</w:t>
      </w:r>
    </w:p>
    <w:p>
      <w:pPr>
        <w:spacing w:after="80" w:line="276" w:lineRule="auto"/>
      </w:pPr>
      <w:r>
        <w:rPr>
          <w:rFonts w:ascii="Calibri" w:hAnsi="Calibri"/>
          <w:color w:val="2B2D42"/>
          <w:sz w:val="22"/>
        </w:rPr>
        <w:t>This aggregation sums profit over the full four-year horizon; it does not show whether loss-making sub-categories were improving or worsening over time.</w:t>
      </w:r>
    </w:p>
    <w:p>
      <w:r>
        <w:br w:type="page"/>
      </w:r>
    </w:p>
    <w:p>
      <w:pPr>
        <w:keepNext/>
        <w:spacing w:before="320" w:after="120"/>
      </w:pPr>
      <w:r>
        <w:rPr>
          <w:rFonts w:ascii="Calibri" w:hAnsi="Calibri"/>
          <w:b/>
          <w:color w:val="1D3557"/>
          <w:sz w:val="34"/>
        </w:rPr>
        <w:t>16. VISUALIZATION 9: PROFIT DISTRIBUTION BY CATEGORY (BOX PLOT)</w:t>
      </w:r>
    </w:p>
    <w:p>
      <w:pPr>
        <w:keepNext/>
        <w:spacing w:before="240" w:after="80"/>
      </w:pPr>
      <w:r>
        <w:rPr>
          <w:rFonts w:ascii="Calibri" w:hAnsi="Calibri"/>
          <w:b/>
          <w:color w:val="457B9D"/>
          <w:sz w:val="27"/>
        </w:rPr>
        <w:t>A. Purpose &amp; Analytical Question</w:t>
      </w:r>
    </w:p>
    <w:p>
      <w:pPr>
        <w:spacing w:after="80" w:line="276" w:lineRule="auto"/>
      </w:pPr>
      <w:r>
        <w:rPr>
          <w:rFonts w:ascii="Calibri" w:hAnsi="Calibri"/>
          <w:color w:val="2B2D42"/>
          <w:sz w:val="22"/>
        </w:rPr>
        <w:t>How does the distribution and quartile dispersion of transaction net profit differ across product categories? (RQ4, RQ9)</w:t>
      </w:r>
    </w:p>
    <w:p>
      <w:pPr>
        <w:keepNext/>
        <w:spacing w:before="240" w:after="80"/>
      </w:pPr>
      <w:r>
        <w:rPr>
          <w:rFonts w:ascii="Calibri" w:hAnsi="Calibri"/>
          <w:b/>
          <w:color w:val="457B9D"/>
          <w:sz w:val="27"/>
        </w:rPr>
        <w:t>B. Variables Represented</w:t>
      </w:r>
    </w:p>
    <w:p>
      <w:pPr>
        <w:spacing w:after="80" w:line="276" w:lineRule="auto"/>
      </w:pPr>
      <w:r>
        <w:rPr>
          <w:rFonts w:ascii="Calibri" w:hAnsi="Calibri"/>
          <w:color w:val="2B2D42"/>
          <w:sz w:val="22"/>
        </w:rPr>
        <w:t>Category (Discrete grouping factor) and Transaction Net Profit in USD (Continuous ratio variable).</w:t>
      </w:r>
    </w:p>
    <w:p>
      <w:pPr>
        <w:keepNext/>
        <w:spacing w:before="240" w:after="80"/>
      </w:pPr>
      <w:r>
        <w:rPr>
          <w:rFonts w:ascii="Calibri" w:hAnsi="Calibri"/>
          <w:b/>
          <w:color w:val="457B9D"/>
          <w:sz w:val="27"/>
        </w:rPr>
        <w:t>C. Aggregation Methodology</w:t>
      </w:r>
    </w:p>
    <w:p>
      <w:pPr>
        <w:spacing w:after="80" w:line="276" w:lineRule="auto"/>
      </w:pPr>
      <w:r>
        <w:rPr>
          <w:rFonts w:ascii="Calibri" w:hAnsi="Calibri"/>
          <w:color w:val="2B2D42"/>
          <w:sz w:val="22"/>
        </w:rPr>
        <w:t>Constructed using geom_boxplot() with jittered outlier points, with the vertical axis zoomed to [-$300, +$300] to reveal the central 95% of data.</w:t>
      </w:r>
    </w:p>
    <w:p>
      <w:pPr>
        <w:keepNext/>
        <w:spacing w:before="240" w:after="80"/>
      </w:pPr>
      <w:r>
        <w:rPr>
          <w:rFonts w:ascii="Calibri" w:hAnsi="Calibri"/>
          <w:b/>
          <w:color w:val="457B9D"/>
          <w:sz w:val="27"/>
        </w:rPr>
        <w:t>D. R Code Implementation</w:t>
      </w:r>
    </w:p>
    <w:tbl>
      <w:tblPr>
        <w:tblW w:type="auto" w:w="0"/>
        <w:jc w:val="center"/>
        <w:tblLook w:firstColumn="1" w:firstRow="1" w:lastColumn="0" w:lastRow="0" w:noHBand="0" w:noVBand="1" w:val="04A0"/>
      </w:tblPr>
      <w:tblGrid>
        <w:gridCol w:w="9360"/>
      </w:tblGrid>
      <w:tr>
        <w:tc>
          <w:tcPr>
            <w:tcW w:type="dxa" w:w="9360"/>
            <w:shd w:fill="F4F4F6"/>
            <w:tcMar>
              <w:top w:w="100" w:type="dxa"/>
              <w:bottom w:w="100" w:type="dxa"/>
              <w:left w:w="150" w:type="dxa"/>
              <w:right w:w="150" w:type="dxa"/>
            </w:tcMar>
            <w:tcBorders>
              <w:top w:val="single" w:sz="4" w:color="D3D3D3"/>
              <w:left w:val="single" w:sz="18" w:color="457B9D"/>
              <w:bottom w:val="single" w:sz="4" w:color="D3D3D3"/>
              <w:right w:val="single" w:sz="4" w:color="D3D3D3"/>
            </w:tcBorders>
          </w:tcPr>
          <w:p>
            <w:pPr>
              <w:spacing w:after="0" w:line="252" w:lineRule="auto"/>
            </w:pPr>
            <w:r>
              <w:rPr>
                <w:rFonts w:ascii="Consolas" w:hAnsi="Consolas"/>
                <w:color w:val="1E293B"/>
                <w:sz w:val="18"/>
              </w:rPr>
              <w:t># Visualization 9 R Code</w:t>
              <w:br/>
              <w:t>p9 &lt;- ggplot(superstore_clean, aes(x = Category, y = Profit, fill = Category)) +</w:t>
              <w:br/>
              <w:t xml:space="preserve">  geom_hline(yintercept = 0, color = "gray40", linetype = "dashed") +</w:t>
              <w:br/>
              <w:t xml:space="preserve">  geom_boxplot(outlier.alpha = 0.25, outlier.size = 1.4, width = 0.5, show.legend = FALSE) +</w:t>
              <w:br/>
              <w:t xml:space="preserve">  coord_cartesian(ylim = c(-300, 300)) +</w:t>
              <w:br/>
              <w:t xml:space="preserve">  scale_y_continuous(labels = dollar_format(prefix = "$"), breaks = seq(-300, 300, 100)) +</w:t>
              <w:br/>
              <w:t xml:space="preserve">  scale_fill_manual(values = superstore_palette) +</w:t>
              <w:br/>
              <w:t xml:space="preserve">  annotate("text", x = 1, y = -260, label = "Furniture: Median $7.78\nWide negative quartile spread", fontface = "bold", color = superstore_palette["Furniture"]) +</w:t>
              <w:br/>
              <w:t xml:space="preserve">  annotate("text", x = 2, y = 260, label = "Office Supplies: Median $6.88\nTight IQR around zero", fontface = "bold", color = superstore_palette["Office Supplies"]) +</w:t>
              <w:br/>
              <w:t xml:space="preserve">  annotate("text", x = 3, y = 260, label = "Technology: Median $25.02\nHighest median &amp; upper quartile", fontface = "bold", color = superstore_palette["Technology"]) +</w:t>
              <w:br/>
              <w:t xml:space="preserve">  labs(title = "Visualization 9: Transaction Profit Distribution Across Product Categories (Box Plot)",</w:t>
              <w:br/>
              <w:t xml:space="preserve">       subtitle = "Technology demonstrates substantially higher median profitability and upper quartile reach than Furniture",</w:t>
              <w:br/>
              <w:t xml:space="preserve">       x = "Product Category", y = "Transaction Net Profit (USD) [Clamped to -300, +300]") + theme_superstore()</w:t>
            </w:r>
          </w:p>
        </w:tc>
      </w:tr>
    </w:tbl>
    <w:p>
      <w:pPr>
        <w:spacing w:after="40"/>
      </w:pPr>
    </w:p>
    <w:p>
      <w:pPr>
        <w:keepNext/>
        <w:spacing w:before="240" w:after="80"/>
      </w:pPr>
      <w:r>
        <w:rPr>
          <w:rFonts w:ascii="Calibri" w:hAnsi="Calibri"/>
          <w:b/>
          <w:color w:val="457B9D"/>
          <w:sz w:val="27"/>
        </w:rPr>
        <w:t>E. Visualization Display</w:t>
      </w:r>
    </w:p>
    <w:p>
      <w:pPr>
        <w:spacing w:before="120" w:after="40"/>
        <w:jc w:val="center"/>
      </w:pPr>
      <w:r>
        <w:drawing>
          <wp:inline xmlns:a="http://schemas.openxmlformats.org/drawingml/2006/main" xmlns:pic="http://schemas.openxmlformats.org/drawingml/2006/picture">
            <wp:extent cx="5577840" cy="3346704"/>
            <wp:docPr id="9" name="Picture 9"/>
            <wp:cNvGraphicFramePr>
              <a:graphicFrameLocks noChangeAspect="1"/>
            </wp:cNvGraphicFramePr>
            <a:graphic>
              <a:graphicData uri="http://schemas.openxmlformats.org/drawingml/2006/picture">
                <pic:pic>
                  <pic:nvPicPr>
                    <pic:cNvPr id="0" name="09_profit_boxplot_category.png"/>
                    <pic:cNvPicPr/>
                  </pic:nvPicPr>
                  <pic:blipFill>
                    <a:blip r:embed="rId18"/>
                    <a:stretch>
                      <a:fillRect/>
                    </a:stretch>
                  </pic:blipFill>
                  <pic:spPr>
                    <a:xfrm>
                      <a:off x="0" y="0"/>
                      <a:ext cx="5577840" cy="3346704"/>
                    </a:xfrm>
                    <a:prstGeom prst="rect"/>
                  </pic:spPr>
                </pic:pic>
              </a:graphicData>
            </a:graphic>
          </wp:inline>
        </w:drawing>
      </w:r>
    </w:p>
    <w:p>
      <w:pPr>
        <w:spacing w:after="160"/>
        <w:jc w:val="center"/>
      </w:pPr>
      <w:r>
        <w:rPr>
          <w:rFonts w:ascii="Calibri" w:hAnsi="Calibri"/>
          <w:i/>
          <w:color w:val="6C757D"/>
          <w:sz w:val="19"/>
        </w:rPr>
        <w:t>Figure 9: Non-parametric box plots of transaction profit across merchandise categories.</w:t>
      </w:r>
    </w:p>
    <w:p>
      <w:pPr>
        <w:keepNext/>
        <w:spacing w:before="240" w:after="80"/>
      </w:pPr>
      <w:r>
        <w:rPr>
          <w:rFonts w:ascii="Calibri" w:hAnsi="Calibri"/>
          <w:b/>
          <w:color w:val="457B9D"/>
          <w:sz w:val="27"/>
        </w:rPr>
        <w:t>F. Visual Observations</w:t>
      </w:r>
    </w:p>
    <w:p>
      <w:pPr>
        <w:spacing w:after="80" w:line="276" w:lineRule="auto"/>
      </w:pPr>
      <w:r>
        <w:rPr>
          <w:rFonts w:ascii="Calibri" w:hAnsi="Calibri"/>
          <w:color w:val="2B2D42"/>
          <w:sz w:val="22"/>
        </w:rPr>
        <w:t>Technology exhibits the highest median profit ($25.02) and the highest upper quartile (Q3: $74.99), with an interquartile box shifted strongly into positive territory. Office Supplies exhibits a tight, stable IQR centered around a modest median ($6.88), with minimal lower-quartile loss exposure. Furniture displays a median of $7.78, but its lower interquartile span dips deeply into negative territory (Q1: -$1.73), accompanied by a heavy cloud of negative outlier points.</w:t>
      </w:r>
    </w:p>
    <w:p>
      <w:pPr>
        <w:keepNext/>
        <w:spacing w:before="240" w:after="80"/>
      </w:pPr>
      <w:r>
        <w:rPr>
          <w:rFonts w:ascii="Calibri" w:hAnsi="Calibri"/>
          <w:b/>
          <w:color w:val="457B9D"/>
          <w:sz w:val="27"/>
        </w:rPr>
        <w:t>G. Empirical Interpretation</w:t>
      </w:r>
    </w:p>
    <w:p>
      <w:pPr>
        <w:spacing w:after="80" w:line="276" w:lineRule="auto"/>
      </w:pPr>
      <w:r>
        <w:rPr>
          <w:rFonts w:ascii="Calibri" w:hAnsi="Calibri"/>
          <w:color w:val="2B2D42"/>
          <w:sz w:val="22"/>
        </w:rPr>
        <w:t>The box plot reveals essential distributional properties that aggregate bar charts hide. It proves that Furniture's weakness is not an isolated handful of bad orders, but a structurally shifted distribution wherein more than 25% of all transactions lose money. Conversely, Technology's distribution is fundamentally healthy, with over 75% of orders operating above breakeven. Office Supplies acts as a high-volume, low-volatility stabilizer for corporate cash flow.</w:t>
      </w:r>
    </w:p>
    <w:p>
      <w:pPr>
        <w:keepNext/>
        <w:spacing w:before="240" w:after="80"/>
      </w:pPr>
      <w:r>
        <w:rPr>
          <w:rFonts w:ascii="Calibri" w:hAnsi="Calibri"/>
          <w:b/>
          <w:color w:val="457B9D"/>
          <w:sz w:val="27"/>
        </w:rPr>
        <w:t>H. Key Insight</w:t>
      </w:r>
    </w:p>
    <w:p>
      <w:pPr>
        <w:spacing w:after="80" w:line="276" w:lineRule="auto"/>
      </w:pPr>
      <w:r>
        <w:rPr>
          <w:rFonts w:ascii="Calibri" w:hAnsi="Calibri"/>
          <w:color w:val="2B2D42"/>
          <w:sz w:val="22"/>
        </w:rPr>
        <w:t>Furniture is the only category whose lower quartile (Q1) falls below $0, proving that margin deficit is embedded across routine transactions.</w:t>
      </w:r>
    </w:p>
    <w:p>
      <w:pPr>
        <w:keepNext/>
        <w:spacing w:before="240" w:after="80"/>
      </w:pPr>
      <w:r>
        <w:rPr>
          <w:rFonts w:ascii="Calibri" w:hAnsi="Calibri"/>
          <w:b/>
          <w:color w:val="457B9D"/>
          <w:sz w:val="27"/>
        </w:rPr>
        <w:t>I. Analytical Limitation</w:t>
      </w:r>
    </w:p>
    <w:p>
      <w:pPr>
        <w:spacing w:after="80" w:line="276" w:lineRule="auto"/>
      </w:pPr>
      <w:r>
        <w:rPr>
          <w:rFonts w:ascii="Calibri" w:hAnsi="Calibri"/>
          <w:color w:val="2B2D42"/>
          <w:sz w:val="22"/>
        </w:rPr>
        <w:t>The coordinate zoom clamped the vertical display to [-$300, +$300], masking the extreme tail of commercial equipment outliers.</w:t>
      </w:r>
    </w:p>
    <w:p>
      <w:r>
        <w:br w:type="page"/>
      </w:r>
    </w:p>
    <w:p>
      <w:pPr>
        <w:keepNext/>
        <w:spacing w:before="320" w:after="120"/>
      </w:pPr>
      <w:r>
        <w:rPr>
          <w:rFonts w:ascii="Calibri" w:hAnsi="Calibri"/>
          <w:b/>
          <w:color w:val="1D3557"/>
          <w:sz w:val="34"/>
        </w:rPr>
        <w:t>17. VISUALIZATION 10: REGIONAL COMMERCIAL PERFORMANCE</w:t>
      </w:r>
    </w:p>
    <w:p>
      <w:pPr>
        <w:keepNext/>
        <w:spacing w:before="240" w:after="80"/>
      </w:pPr>
      <w:r>
        <w:rPr>
          <w:rFonts w:ascii="Calibri" w:hAnsi="Calibri"/>
          <w:b/>
          <w:color w:val="457B9D"/>
          <w:sz w:val="27"/>
        </w:rPr>
        <w:t>A. Purpose &amp; Analytical Question</w:t>
      </w:r>
    </w:p>
    <w:p>
      <w:pPr>
        <w:spacing w:after="80" w:line="276" w:lineRule="auto"/>
      </w:pPr>
      <w:r>
        <w:rPr>
          <w:rFonts w:ascii="Calibri" w:hAnsi="Calibri"/>
          <w:color w:val="2B2D42"/>
          <w:sz w:val="22"/>
        </w:rPr>
        <w:t>Which geographic regions contribute most to enterprise sales and profit, and where does margin erosion concentrate? (RQ8)</w:t>
      </w:r>
    </w:p>
    <w:p>
      <w:pPr>
        <w:keepNext/>
        <w:spacing w:before="240" w:after="80"/>
      </w:pPr>
      <w:r>
        <w:rPr>
          <w:rFonts w:ascii="Calibri" w:hAnsi="Calibri"/>
          <w:b/>
          <w:color w:val="457B9D"/>
          <w:sz w:val="27"/>
        </w:rPr>
        <w:t>B. Variables Represented</w:t>
      </w:r>
    </w:p>
    <w:p>
      <w:pPr>
        <w:spacing w:after="80" w:line="276" w:lineRule="auto"/>
      </w:pPr>
      <w:r>
        <w:rPr>
          <w:rFonts w:ascii="Calibri" w:hAnsi="Calibri"/>
          <w:color w:val="2B2D42"/>
          <w:sz w:val="22"/>
        </w:rPr>
        <w:t>Region (Discrete factor: West, East, Central, South), Financial Metric (Sales vs Profit), and Dollar Amount in USD.</w:t>
      </w:r>
    </w:p>
    <w:p>
      <w:pPr>
        <w:keepNext/>
        <w:spacing w:before="240" w:after="80"/>
      </w:pPr>
      <w:r>
        <w:rPr>
          <w:rFonts w:ascii="Calibri" w:hAnsi="Calibri"/>
          <w:b/>
          <w:color w:val="457B9D"/>
          <w:sz w:val="27"/>
        </w:rPr>
        <w:t>C. Aggregation Methodology</w:t>
      </w:r>
    </w:p>
    <w:p>
      <w:pPr>
        <w:spacing w:after="80" w:line="276" w:lineRule="auto"/>
      </w:pPr>
      <w:r>
        <w:rPr>
          <w:rFonts w:ascii="Calibri" w:hAnsi="Calibri"/>
          <w:color w:val="2B2D42"/>
          <w:sz w:val="22"/>
        </w:rPr>
        <w:t>Aggregated by Region, reshaped via tidyr::pivot_longer(), and plotted as a side-by-side grouped bar chart with direct currency value labels.</w:t>
      </w:r>
    </w:p>
    <w:p>
      <w:pPr>
        <w:keepNext/>
        <w:spacing w:before="240" w:after="80"/>
      </w:pPr>
      <w:r>
        <w:rPr>
          <w:rFonts w:ascii="Calibri" w:hAnsi="Calibri"/>
          <w:b/>
          <w:color w:val="457B9D"/>
          <w:sz w:val="27"/>
        </w:rPr>
        <w:t>D. R Code Implementation</w:t>
      </w:r>
    </w:p>
    <w:tbl>
      <w:tblPr>
        <w:tblW w:type="auto" w:w="0"/>
        <w:jc w:val="center"/>
        <w:tblLook w:firstColumn="1" w:firstRow="1" w:lastColumn="0" w:lastRow="0" w:noHBand="0" w:noVBand="1" w:val="04A0"/>
      </w:tblPr>
      <w:tblGrid>
        <w:gridCol w:w="9360"/>
      </w:tblGrid>
      <w:tr>
        <w:tc>
          <w:tcPr>
            <w:tcW w:type="dxa" w:w="9360"/>
            <w:shd w:fill="F4F4F6"/>
            <w:tcMar>
              <w:top w:w="100" w:type="dxa"/>
              <w:bottom w:w="100" w:type="dxa"/>
              <w:left w:w="150" w:type="dxa"/>
              <w:right w:w="150" w:type="dxa"/>
            </w:tcMar>
            <w:tcBorders>
              <w:top w:val="single" w:sz="4" w:color="D3D3D3"/>
              <w:left w:val="single" w:sz="18" w:color="457B9D"/>
              <w:bottom w:val="single" w:sz="4" w:color="D3D3D3"/>
              <w:right w:val="single" w:sz="4" w:color="D3D3D3"/>
            </w:tcBorders>
          </w:tcPr>
          <w:p>
            <w:pPr>
              <w:spacing w:after="0" w:line="252" w:lineRule="auto"/>
            </w:pPr>
            <w:r>
              <w:rPr>
                <w:rFonts w:ascii="Consolas" w:hAnsi="Consolas"/>
                <w:color w:val="1E293B"/>
                <w:sz w:val="18"/>
              </w:rPr>
              <w:t># Visualization 10 R Code</w:t>
              <w:br/>
              <w:t>p10 &lt;- ggplot(region_summary, aes(x = reorder(Region, -Amount), y = Amount, fill = Metric)) +</w:t>
              <w:br/>
              <w:t xml:space="preserve">  geom_col(position = position_dodge(width = 0.75), width = 0.65) +</w:t>
              <w:br/>
              <w:t xml:space="preserve">  geom_text(aes(label = paste0("$", format(round(Amount / 1000, 1), nsmall = 1), "K")),</w:t>
              <w:br/>
              <w:t xml:space="preserve">            position = position_dodge(width = 0.75), vjust = -0.4, fontface = "bold") +</w:t>
              <w:br/>
              <w:t xml:space="preserve">  scale_y_continuous(labels = dollar_format(prefix = "$", scale = 1e-3, suffix = "K"), expand = expansion(mult = c(0, 0.15))) +</w:t>
              <w:br/>
              <w:t xml:space="preserve">  scale_fill_manual(values = c("Sales" = col_navy, "Profit" = col_teal)) +</w:t>
              <w:br/>
              <w:t xml:space="preserve">  labs(title = "Visualization 10: Geographic Sales and Net Profit Performance by US Region",</w:t>
              <w:br/>
              <w:t xml:space="preserve">       subtitle = "West leads in revenue ($725.5K) and profit ($108.4K); Central suffers severe margin erosion ($39.7K profit on $501.2K sales)",</w:t>
              <w:br/>
              <w:t xml:space="preserve">       x = "Geographic Region", y = "Total Financial Value (USD)") + theme_superstore()</w:t>
            </w:r>
          </w:p>
        </w:tc>
      </w:tr>
    </w:tbl>
    <w:p>
      <w:pPr>
        <w:spacing w:after="40"/>
      </w:pPr>
    </w:p>
    <w:p>
      <w:pPr>
        <w:keepNext/>
        <w:spacing w:before="240" w:after="80"/>
      </w:pPr>
      <w:r>
        <w:rPr>
          <w:rFonts w:ascii="Calibri" w:hAnsi="Calibri"/>
          <w:b/>
          <w:color w:val="457B9D"/>
          <w:sz w:val="27"/>
        </w:rPr>
        <w:t>E. Visualization Display</w:t>
      </w:r>
    </w:p>
    <w:p>
      <w:pPr>
        <w:spacing w:before="120" w:after="40"/>
        <w:jc w:val="center"/>
      </w:pPr>
      <w:r>
        <w:drawing>
          <wp:inline xmlns:a="http://schemas.openxmlformats.org/drawingml/2006/main" xmlns:pic="http://schemas.openxmlformats.org/drawingml/2006/picture">
            <wp:extent cx="5577840" cy="3346704"/>
            <wp:docPr id="10" name="Picture 10"/>
            <wp:cNvGraphicFramePr>
              <a:graphicFrameLocks noChangeAspect="1"/>
            </wp:cNvGraphicFramePr>
            <a:graphic>
              <a:graphicData uri="http://schemas.openxmlformats.org/drawingml/2006/picture">
                <pic:pic>
                  <pic:nvPicPr>
                    <pic:cNvPr id="0" name="10_regional_performance.png"/>
                    <pic:cNvPicPr/>
                  </pic:nvPicPr>
                  <pic:blipFill>
                    <a:blip r:embed="rId19"/>
                    <a:stretch>
                      <a:fillRect/>
                    </a:stretch>
                  </pic:blipFill>
                  <pic:spPr>
                    <a:xfrm>
                      <a:off x="0" y="0"/>
                      <a:ext cx="5577840" cy="3346704"/>
                    </a:xfrm>
                    <a:prstGeom prst="rect"/>
                  </pic:spPr>
                </pic:pic>
              </a:graphicData>
            </a:graphic>
          </wp:inline>
        </w:drawing>
      </w:r>
    </w:p>
    <w:p>
      <w:pPr>
        <w:spacing w:after="160"/>
        <w:jc w:val="center"/>
      </w:pPr>
      <w:r>
        <w:rPr>
          <w:rFonts w:ascii="Calibri" w:hAnsi="Calibri"/>
          <w:i/>
          <w:color w:val="6C757D"/>
          <w:sz w:val="19"/>
        </w:rPr>
        <w:t>Figure 10: Grouped comparison of cumulative sales revenue and net profit across US regions.</w:t>
      </w:r>
    </w:p>
    <w:p>
      <w:pPr>
        <w:keepNext/>
        <w:spacing w:before="240" w:after="80"/>
      </w:pPr>
      <w:r>
        <w:rPr>
          <w:rFonts w:ascii="Calibri" w:hAnsi="Calibri"/>
          <w:b/>
          <w:color w:val="457B9D"/>
          <w:sz w:val="27"/>
        </w:rPr>
        <w:t>F. Visual Observations</w:t>
      </w:r>
    </w:p>
    <w:p>
      <w:pPr>
        <w:spacing w:after="80" w:line="276" w:lineRule="auto"/>
      </w:pPr>
      <w:r>
        <w:rPr>
          <w:rFonts w:ascii="Calibri" w:hAnsi="Calibri"/>
          <w:color w:val="2B2D42"/>
          <w:sz w:val="22"/>
        </w:rPr>
        <w:t>West leads the nation across both financial dimensions, generating $725,457.82 in sales (31.6%) and $108,418.45 in profit (37.9%), achieving a stellar 14.94% profit margin. East ranks second, delivering $678,781.24 in sales (29.6%) and $91,522.78 in profit (32.0%) at a strong 13.48% margin. South produces $391,721.91 in sales and $46,749.43 in profit (11.93% margin). Central presents an alarming performance deficit: despite generating over half a million dollars in sales ($501,239.89), it yields only $39,706.36 in net profit—a severely impaired commercial margin of just 7.92%.</w:t>
      </w:r>
    </w:p>
    <w:p>
      <w:pPr>
        <w:keepNext/>
        <w:spacing w:before="240" w:after="80"/>
      </w:pPr>
      <w:r>
        <w:rPr>
          <w:rFonts w:ascii="Calibri" w:hAnsi="Calibri"/>
          <w:b/>
          <w:color w:val="457B9D"/>
          <w:sz w:val="27"/>
        </w:rPr>
        <w:t>G. Empirical Interpretation</w:t>
      </w:r>
    </w:p>
    <w:p>
      <w:pPr>
        <w:spacing w:after="80" w:line="276" w:lineRule="auto"/>
      </w:pPr>
      <w:r>
        <w:rPr>
          <w:rFonts w:ascii="Calibri" w:hAnsi="Calibri"/>
          <w:color w:val="2B2D42"/>
          <w:sz w:val="22"/>
        </w:rPr>
        <w:t>Connecting regional performance back to our discounting analysis provides the explanation for Central's margin collapse. Central records the highest average promotional discount rate in the entire country at 24.03% (compared to just 10.93% in the West). Central account managers have aggressively utilized deep discounts (frequently reaching 80% on Binders and Appliances in Illinois and Texas), eroding over $50,000 in potential profit. Conversely, West's strict discount discipline protects gross margins and maximizes capital return.</w:t>
      </w:r>
    </w:p>
    <w:p>
      <w:pPr>
        <w:keepNext/>
        <w:spacing w:before="240" w:after="80"/>
      </w:pPr>
      <w:r>
        <w:rPr>
          <w:rFonts w:ascii="Calibri" w:hAnsi="Calibri"/>
          <w:b/>
          <w:color w:val="457B9D"/>
          <w:sz w:val="27"/>
        </w:rPr>
        <w:t>H. Key Insight</w:t>
      </w:r>
    </w:p>
    <w:p>
      <w:pPr>
        <w:spacing w:after="80" w:line="276" w:lineRule="auto"/>
      </w:pPr>
      <w:r>
        <w:rPr>
          <w:rFonts w:ascii="Calibri" w:hAnsi="Calibri"/>
          <w:color w:val="2B2D42"/>
          <w:sz w:val="22"/>
        </w:rPr>
        <w:t>Central is Superstore's primary geographic margin sink, yielding only 7.92% net profit due to excessive promotional discounting (24.03% average discount).</w:t>
      </w:r>
    </w:p>
    <w:p>
      <w:pPr>
        <w:keepNext/>
        <w:spacing w:before="240" w:after="80"/>
      </w:pPr>
      <w:r>
        <w:rPr>
          <w:rFonts w:ascii="Calibri" w:hAnsi="Calibri"/>
          <w:b/>
          <w:color w:val="457B9D"/>
          <w:sz w:val="27"/>
        </w:rPr>
        <w:t>I. Analytical Limitation</w:t>
      </w:r>
    </w:p>
    <w:p>
      <w:pPr>
        <w:spacing w:after="80" w:line="276" w:lineRule="auto"/>
      </w:pPr>
      <w:r>
        <w:rPr>
          <w:rFonts w:ascii="Calibri" w:hAnsi="Calibri"/>
          <w:color w:val="2B2D42"/>
          <w:sz w:val="22"/>
        </w:rPr>
        <w:t>Regional aggregation does not account for differing state corporate tax structures, local commercial real estate costs, or regional shipping surcharges.</w:t>
      </w:r>
    </w:p>
    <w:p>
      <w:r>
        <w:br w:type="page"/>
      </w:r>
    </w:p>
    <w:p>
      <w:pPr>
        <w:keepNext/>
        <w:spacing w:before="320" w:after="120"/>
      </w:pPr>
      <w:r>
        <w:rPr>
          <w:rFonts w:ascii="Calibri" w:hAnsi="Calibri"/>
          <w:b/>
          <w:color w:val="1D3557"/>
          <w:sz w:val="34"/>
        </w:rPr>
        <w:t>18. VISUALIZATION 11: SHIPPING FULFILLMENT DURATION</w:t>
      </w:r>
    </w:p>
    <w:p>
      <w:pPr>
        <w:keepNext/>
        <w:spacing w:before="240" w:after="80"/>
      </w:pPr>
      <w:r>
        <w:rPr>
          <w:rFonts w:ascii="Calibri" w:hAnsi="Calibri"/>
          <w:b/>
          <w:color w:val="457B9D"/>
          <w:sz w:val="27"/>
        </w:rPr>
        <w:t>A. Purpose &amp; Analytical Question</w:t>
      </w:r>
    </w:p>
    <w:p>
      <w:pPr>
        <w:spacing w:after="80" w:line="276" w:lineRule="auto"/>
      </w:pPr>
      <w:r>
        <w:rPr>
          <w:rFonts w:ascii="Calibri" w:hAnsi="Calibri"/>
          <w:color w:val="2B2D42"/>
          <w:sz w:val="22"/>
        </w:rPr>
        <w:t>What is the typical order fulfillment duration across logistics shipping tiers, and do operational fulfillment targets hold? (Method 8)</w:t>
      </w:r>
    </w:p>
    <w:p>
      <w:pPr>
        <w:keepNext/>
        <w:spacing w:before="240" w:after="80"/>
      </w:pPr>
      <w:r>
        <w:rPr>
          <w:rFonts w:ascii="Calibri" w:hAnsi="Calibri"/>
          <w:b/>
          <w:color w:val="457B9D"/>
          <w:sz w:val="27"/>
        </w:rPr>
        <w:t>B. Variables Represented</w:t>
      </w:r>
    </w:p>
    <w:p>
      <w:pPr>
        <w:spacing w:after="80" w:line="276" w:lineRule="auto"/>
      </w:pPr>
      <w:r>
        <w:rPr>
          <w:rFonts w:ascii="Calibri" w:hAnsi="Calibri"/>
          <w:color w:val="2B2D42"/>
          <w:sz w:val="22"/>
        </w:rPr>
        <w:t>Ship Mode (Discrete factor: Same Day, First Class, Second Class, Standard Class) and Days to Ship (Integer days difftime).</w:t>
      </w:r>
    </w:p>
    <w:p>
      <w:pPr>
        <w:keepNext/>
        <w:spacing w:before="240" w:after="80"/>
      </w:pPr>
      <w:r>
        <w:rPr>
          <w:rFonts w:ascii="Calibri" w:hAnsi="Calibri"/>
          <w:b/>
          <w:color w:val="457B9D"/>
          <w:sz w:val="27"/>
        </w:rPr>
        <w:t>C. Aggregation Methodology</w:t>
      </w:r>
    </w:p>
    <w:p>
      <w:pPr>
        <w:spacing w:after="80" w:line="276" w:lineRule="auto"/>
      </w:pPr>
      <w:r>
        <w:rPr>
          <w:rFonts w:ascii="Calibri" w:hAnsi="Calibri"/>
          <w:color w:val="2B2D42"/>
          <w:sz w:val="22"/>
        </w:rPr>
        <w:t>Calculated as as.numeric(difftime(Ship_Date_Clean, Order_Date_Clean, units = 'days')). Plotted via geom_boxplot() with mean diamonds.</w:t>
      </w:r>
    </w:p>
    <w:p>
      <w:pPr>
        <w:keepNext/>
        <w:spacing w:before="240" w:after="80"/>
      </w:pPr>
      <w:r>
        <w:rPr>
          <w:rFonts w:ascii="Calibri" w:hAnsi="Calibri"/>
          <w:b/>
          <w:color w:val="457B9D"/>
          <w:sz w:val="27"/>
        </w:rPr>
        <w:t>D. R Code Implementation</w:t>
      </w:r>
    </w:p>
    <w:tbl>
      <w:tblPr>
        <w:tblW w:type="auto" w:w="0"/>
        <w:jc w:val="center"/>
        <w:tblLook w:firstColumn="1" w:firstRow="1" w:lastColumn="0" w:lastRow="0" w:noHBand="0" w:noVBand="1" w:val="04A0"/>
      </w:tblPr>
      <w:tblGrid>
        <w:gridCol w:w="9360"/>
      </w:tblGrid>
      <w:tr>
        <w:tc>
          <w:tcPr>
            <w:tcW w:type="dxa" w:w="9360"/>
            <w:shd w:fill="F4F4F6"/>
            <w:tcMar>
              <w:top w:w="100" w:type="dxa"/>
              <w:bottom w:w="100" w:type="dxa"/>
              <w:left w:w="150" w:type="dxa"/>
              <w:right w:w="150" w:type="dxa"/>
            </w:tcMar>
            <w:tcBorders>
              <w:top w:val="single" w:sz="4" w:color="D3D3D3"/>
              <w:left w:val="single" w:sz="18" w:color="457B9D"/>
              <w:bottom w:val="single" w:sz="4" w:color="D3D3D3"/>
              <w:right w:val="single" w:sz="4" w:color="D3D3D3"/>
            </w:tcBorders>
          </w:tcPr>
          <w:p>
            <w:pPr>
              <w:spacing w:after="0" w:line="252" w:lineRule="auto"/>
            </w:pPr>
            <w:r>
              <w:rPr>
                <w:rFonts w:ascii="Consolas" w:hAnsi="Consolas"/>
                <w:color w:val="1E293B"/>
                <w:sz w:val="18"/>
              </w:rPr>
              <w:t># Visualization 11 R Code</w:t>
              <w:br/>
              <w:t>p11 &lt;- ggplot(superstore_clean, aes(x = Ship_Mode, y = Days_to_Ship, fill = Ship_Mode)) +</w:t>
              <w:br/>
              <w:t xml:space="preserve">  geom_boxplot(width = 0.5, alpha = 0.85, show.legend = FALSE, outlier.color = "gray40") +</w:t>
              <w:br/>
              <w:t xml:space="preserve">  stat_summary(fun = mean, geom = "point", shape = 18, size = 3.5, color = col_crimson) +</w:t>
              <w:br/>
              <w:t xml:space="preserve">  scale_y_continuous(breaks = 0:7, limits = c(0, 7.5)) +</w:t>
              <w:br/>
              <w:t xml:space="preserve">  scale_fill_brewer(palette = "Blues") +</w:t>
              <w:br/>
              <w:t xml:space="preserve">  labs(title = "Visualization 11: Order Fulfillment Duration Across Standardized Shipping Modes",</w:t>
              <w:br/>
              <w:t xml:space="preserve">       subtitle = "Strict operational adherence: Same Day ships within 24h, whereas Standard Class averages 5.0 days",</w:t>
              <w:br/>
              <w:t xml:space="preserve">       x = "Logistics Shipping Mode Tier", y = "Days Elapsed from Order to Shipment (Days)") + theme_superstore()</w:t>
            </w:r>
          </w:p>
        </w:tc>
      </w:tr>
    </w:tbl>
    <w:p>
      <w:pPr>
        <w:spacing w:after="40"/>
      </w:pPr>
    </w:p>
    <w:p>
      <w:pPr>
        <w:keepNext/>
        <w:spacing w:before="240" w:after="80"/>
      </w:pPr>
      <w:r>
        <w:rPr>
          <w:rFonts w:ascii="Calibri" w:hAnsi="Calibri"/>
          <w:b/>
          <w:color w:val="457B9D"/>
          <w:sz w:val="27"/>
        </w:rPr>
        <w:t>E. Visualization Display</w:t>
      </w:r>
    </w:p>
    <w:p>
      <w:pPr>
        <w:spacing w:before="120" w:after="40"/>
        <w:jc w:val="center"/>
      </w:pPr>
      <w:r>
        <w:drawing>
          <wp:inline xmlns:a="http://schemas.openxmlformats.org/drawingml/2006/main" xmlns:pic="http://schemas.openxmlformats.org/drawingml/2006/picture">
            <wp:extent cx="5577840" cy="3346704"/>
            <wp:docPr id="11" name="Picture 11"/>
            <wp:cNvGraphicFramePr>
              <a:graphicFrameLocks noChangeAspect="1"/>
            </wp:cNvGraphicFramePr>
            <a:graphic>
              <a:graphicData uri="http://schemas.openxmlformats.org/drawingml/2006/picture">
                <pic:pic>
                  <pic:nvPicPr>
                    <pic:cNvPr id="0" name="11_shipping_time_by_mode.png"/>
                    <pic:cNvPicPr/>
                  </pic:nvPicPr>
                  <pic:blipFill>
                    <a:blip r:embed="rId20"/>
                    <a:stretch>
                      <a:fillRect/>
                    </a:stretch>
                  </pic:blipFill>
                  <pic:spPr>
                    <a:xfrm>
                      <a:off x="0" y="0"/>
                      <a:ext cx="5577840" cy="3346704"/>
                    </a:xfrm>
                    <a:prstGeom prst="rect"/>
                  </pic:spPr>
                </pic:pic>
              </a:graphicData>
            </a:graphic>
          </wp:inline>
        </w:drawing>
      </w:r>
    </w:p>
    <w:p>
      <w:pPr>
        <w:spacing w:after="160"/>
        <w:jc w:val="center"/>
      </w:pPr>
      <w:r>
        <w:rPr>
          <w:rFonts w:ascii="Calibri" w:hAnsi="Calibri"/>
          <w:i/>
          <w:color w:val="6C757D"/>
          <w:sz w:val="19"/>
        </w:rPr>
        <w:t>Figure 11: Fulfillment duration box plot and mean points across shipping mode tiers.</w:t>
      </w:r>
    </w:p>
    <w:p>
      <w:pPr>
        <w:keepNext/>
        <w:spacing w:before="240" w:after="80"/>
      </w:pPr>
      <w:r>
        <w:rPr>
          <w:rFonts w:ascii="Calibri" w:hAnsi="Calibri"/>
          <w:b/>
          <w:color w:val="457B9D"/>
          <w:sz w:val="27"/>
        </w:rPr>
        <w:t>F. Visual Observations</w:t>
      </w:r>
    </w:p>
    <w:p>
      <w:pPr>
        <w:spacing w:after="80" w:line="276" w:lineRule="auto"/>
      </w:pPr>
      <w:r>
        <w:rPr>
          <w:rFonts w:ascii="Calibri" w:hAnsi="Calibri"/>
          <w:color w:val="2B2D42"/>
          <w:sz w:val="22"/>
        </w:rPr>
        <w:t>Fulfillment duration exhibits strict operational tiering with zero negative fulfillment anomalies. Same Day mode fulfills in a mean of 0.04 days (median 0 days, max 1 day). First Class mode fulfills in a mean of 2.18 days (median 2 days, range 1 to 3 days). Second Class mode fulfills in a mean of 3.24 days (median 3 days, range 1 to 5 days). Standard Class mode fulfills in a mean of 5.01 days (median 5 days, range 3 to 7 days).</w:t>
      </w:r>
    </w:p>
    <w:p>
      <w:pPr>
        <w:keepNext/>
        <w:spacing w:before="240" w:after="80"/>
      </w:pPr>
      <w:r>
        <w:rPr>
          <w:rFonts w:ascii="Calibri" w:hAnsi="Calibri"/>
          <w:b/>
          <w:color w:val="457B9D"/>
          <w:sz w:val="27"/>
        </w:rPr>
        <w:t>G. Empirical Interpretation</w:t>
      </w:r>
    </w:p>
    <w:p>
      <w:pPr>
        <w:spacing w:after="80" w:line="276" w:lineRule="auto"/>
      </w:pPr>
      <w:r>
        <w:rPr>
          <w:rFonts w:ascii="Calibri" w:hAnsi="Calibri"/>
          <w:color w:val="2B2D42"/>
          <w:sz w:val="22"/>
        </w:rPr>
        <w:t>The logistics fulfillment analysis reveals exceptional operational discipline. The warehouse fulfillment network adheres strictly to promised delivery service-level agreements (SLAs). There is virtually no schedule creep: 100% of Same Day orders ship within 24 hours, and Standard Class never exceeds 7 calendar days. This operational reliability proves that Superstore's profitability challenges stem entirely from commercial pricing and discounting strategies rather than operational logistics failures.</w:t>
      </w:r>
    </w:p>
    <w:p>
      <w:pPr>
        <w:keepNext/>
        <w:spacing w:before="240" w:after="80"/>
      </w:pPr>
      <w:r>
        <w:rPr>
          <w:rFonts w:ascii="Calibri" w:hAnsi="Calibri"/>
          <w:b/>
          <w:color w:val="457B9D"/>
          <w:sz w:val="27"/>
        </w:rPr>
        <w:t>H. Key Insight</w:t>
      </w:r>
    </w:p>
    <w:p>
      <w:pPr>
        <w:spacing w:after="80" w:line="276" w:lineRule="auto"/>
      </w:pPr>
      <w:r>
        <w:rPr>
          <w:rFonts w:ascii="Calibri" w:hAnsi="Calibri"/>
          <w:color w:val="2B2D42"/>
          <w:sz w:val="22"/>
        </w:rPr>
        <w:t>Superstore's logistics fulfillment operations exhibit near-flawless SLA compliance; fulfillment delays are not a driver of customer dissatisfaction or margin erosion.</w:t>
      </w:r>
    </w:p>
    <w:p>
      <w:pPr>
        <w:keepNext/>
        <w:spacing w:before="240" w:after="80"/>
      </w:pPr>
      <w:r>
        <w:rPr>
          <w:rFonts w:ascii="Calibri" w:hAnsi="Calibri"/>
          <w:b/>
          <w:color w:val="457B9D"/>
          <w:sz w:val="27"/>
        </w:rPr>
        <w:t>I. Analytical Limitation</w:t>
      </w:r>
    </w:p>
    <w:p>
      <w:pPr>
        <w:spacing w:after="80" w:line="276" w:lineRule="auto"/>
      </w:pPr>
      <w:r>
        <w:rPr>
          <w:rFonts w:ascii="Calibri" w:hAnsi="Calibri"/>
          <w:color w:val="2B2D42"/>
          <w:sz w:val="22"/>
        </w:rPr>
        <w:t>The dataset records warehouse departure date (Ship Date) rather than carrier customer doorstep delivery date; carrier in-transit transit time is unobserved.</w:t>
      </w:r>
    </w:p>
    <w:p>
      <w:r>
        <w:br w:type="page"/>
      </w:r>
    </w:p>
    <w:p>
      <w:pPr>
        <w:keepNext/>
        <w:spacing w:before="320" w:after="120"/>
      </w:pPr>
      <w:r>
        <w:rPr>
          <w:rFonts w:ascii="Calibri" w:hAnsi="Calibri"/>
          <w:b/>
          <w:color w:val="1D3557"/>
          <w:sz w:val="34"/>
        </w:rPr>
        <w:t>19. INTEGRATED INSIGHTS &amp; CROSS-CHART SYNTHESIS</w:t>
      </w:r>
    </w:p>
    <w:p>
      <w:pPr>
        <w:spacing w:after="80" w:line="276" w:lineRule="auto"/>
      </w:pPr>
      <w:r>
        <w:rPr>
          <w:rFonts w:ascii="Calibri" w:hAnsi="Calibri"/>
          <w:color w:val="2B2D42"/>
          <w:sz w:val="22"/>
        </w:rPr>
        <w:t>A rigorous visual analysis must integrate findings across multiple perspectives to construct a unified commercial narrative. This section synthesizes the evidence generated across our eleven visualizations to answer critical cross-cutting strategic questions.</w:t>
      </w:r>
    </w:p>
    <w:p>
      <w:pPr>
        <w:keepNext/>
        <w:spacing w:before="240" w:after="80"/>
      </w:pPr>
      <w:r>
        <w:rPr>
          <w:rFonts w:ascii="Calibri" w:hAnsi="Calibri"/>
          <w:b/>
          <w:color w:val="457B9D"/>
          <w:sz w:val="27"/>
        </w:rPr>
        <w:t>19.1 The Top-Line Volume Fallacy: Revenue Equality vs Margin Asymmetry</w:t>
      </w:r>
    </w:p>
    <w:p>
      <w:pPr>
        <w:spacing w:after="80" w:line="276" w:lineRule="auto"/>
      </w:pPr>
      <w:r>
        <w:rPr>
          <w:rFonts w:ascii="Calibri" w:hAnsi="Calibri"/>
          <w:color w:val="2B2D42"/>
          <w:sz w:val="22"/>
        </w:rPr>
        <w:t>Synthesizing Visualization 1 (Sales by Category) with Visualization 2 (Profit by Category) completely shatters the assumption that sales volume predicts business value. Superstore generates roughly equal revenue across Technology ($836K), Furniture ($742K), and Office Supplies ($719K). However, their profit contributions diverge radically: Technology captures 50.8% of profit, Office Supplies captures 42.8%, and Furniture captures a negligible 6.4%. Capital, warehouse footprint, and sales representative time allocated to Furniture are generating less than one-seventh the profit return of identical resources deployed in Technology.</w:t>
      </w:r>
    </w:p>
    <w:p>
      <w:pPr>
        <w:keepNext/>
        <w:spacing w:before="240" w:after="80"/>
      </w:pPr>
      <w:r>
        <w:rPr>
          <w:rFonts w:ascii="Calibri" w:hAnsi="Calibri"/>
          <w:b/>
          <w:color w:val="457B9D"/>
          <w:sz w:val="27"/>
        </w:rPr>
        <w:t>19.2 Forensic Anatomy of the Furniture Deficit</w:t>
      </w:r>
    </w:p>
    <w:p>
      <w:pPr>
        <w:spacing w:after="80" w:line="276" w:lineRule="auto"/>
      </w:pPr>
      <w:r>
        <w:rPr>
          <w:rFonts w:ascii="Calibri" w:hAnsi="Calibri"/>
          <w:color w:val="2B2D42"/>
          <w:sz w:val="22"/>
        </w:rPr>
        <w:t>Triangulating Visualization 8 (Sub-Category Profitability) with Visualization 9 (Category Profit Box Plot) isolates the exact operational mechanism driving Furniture's failure. Within Furniture, Chairs and Furnishings perform admirably, generating nearly $40,000 in combined profit. However, Tables (-$17,725.48 net deficit) and Bookcases (-$3,472.56 net deficit) operate as catastrophic capital drains. Visualization 9 confirms that Furniture's interquartile box is depressed below zero, with more than 25% of all orders operating at a loss.</w:t>
      </w:r>
    </w:p>
    <w:p>
      <w:pPr>
        <w:keepNext/>
        <w:spacing w:before="240" w:after="80"/>
      </w:pPr>
      <w:r>
        <w:rPr>
          <w:rFonts w:ascii="Calibri" w:hAnsi="Calibri"/>
          <w:b/>
          <w:color w:val="457B9D"/>
          <w:sz w:val="27"/>
        </w:rPr>
        <w:t>19.3 The Discount Cliff: The Engine of Value Destruction</w:t>
      </w:r>
    </w:p>
    <w:p>
      <w:pPr>
        <w:spacing w:after="80" w:line="276" w:lineRule="auto"/>
      </w:pPr>
      <w:r>
        <w:rPr>
          <w:rFonts w:ascii="Calibri" w:hAnsi="Calibri"/>
          <w:color w:val="2B2D42"/>
          <w:sz w:val="22"/>
        </w:rPr>
        <w:t>Connecting Visualization 6 (Discount vs Profit) with Visualization 10 (Regional Performance) identifies the primary causal catalyst behind these losses. Discounting behaves non-linearly: discounts up to 20% maintain positive margins, but discounts above 20% trigger immediate financial collapse. This explains why the Central region generated over $500,000 in sales but only $39,700 in profit: Central sales managers granted an average discount of 24.03%, pushing an enormous volume of transactions past the 20% discount cliff.</w:t>
      </w:r>
    </w:p>
    <w:p>
      <w:pPr>
        <w:keepNext/>
        <w:spacing w:before="240" w:after="80"/>
      </w:pPr>
      <w:r>
        <w:rPr>
          <w:rFonts w:ascii="Calibri" w:hAnsi="Calibri"/>
          <w:b/>
          <w:color w:val="457B9D"/>
          <w:sz w:val="27"/>
        </w:rPr>
        <w:t>19.4 High-Value Volatility and Deal Governance</w:t>
      </w:r>
    </w:p>
    <w:p>
      <w:pPr>
        <w:spacing w:after="80" w:line="276" w:lineRule="auto"/>
      </w:pPr>
      <w:r>
        <w:rPr>
          <w:rFonts w:ascii="Calibri" w:hAnsi="Calibri"/>
          <w:color w:val="2B2D42"/>
          <w:sz w:val="22"/>
        </w:rPr>
        <w:t>Synthesizing Visualization 3 (Sales Distribution), Visualization 4 (Profit Distribution), and Visualization 7 (Sales vs Profit) reveals that large commercial orders represent an unhedged operational risk. While 75% of transactions are under $210, large enterprise equipment purchases can exceed $10,000. Under full price, these deals deliver up to +$8,400 in profit. But when sales representatives apply steep promotional discounts (e.g., 50% to 70%), these same transactions generate single-order losses exceeding -$6,500, erasing the profit of hundreds of routine orders.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1872"/>
            <w:shd w:fill="1D3557"/>
            <w:tcMar>
              <w:top w:w="100" w:type="dxa"/>
              <w:bottom w:w="100" w:type="dxa"/>
              <w:left w:w="120" w:type="dxa"/>
              <w:right w:w="120" w:type="dxa"/>
            </w:tcMar>
          </w:tcPr>
          <w:p>
            <w:pPr>
              <w:jc w:val="left"/>
            </w:pPr>
            <w:r>
              <w:rPr>
                <w:rFonts w:ascii="Calibri" w:hAnsi="Calibri"/>
                <w:b/>
                <w:color w:val="FFFFFF"/>
                <w:sz w:val="19"/>
              </w:rPr>
              <w:t>Strategic Dimension</w:t>
            </w:r>
          </w:p>
        </w:tc>
        <w:tc>
          <w:tcPr>
            <w:tcW w:type="dxa" w:w="1872"/>
            <w:shd w:fill="1D3557"/>
            <w:tcMar>
              <w:top w:w="100" w:type="dxa"/>
              <w:bottom w:w="100" w:type="dxa"/>
              <w:left w:w="120" w:type="dxa"/>
              <w:right w:w="120" w:type="dxa"/>
            </w:tcMar>
          </w:tcPr>
          <w:p>
            <w:pPr>
              <w:jc w:val="right"/>
            </w:pPr>
            <w:r>
              <w:rPr>
                <w:rFonts w:ascii="Calibri" w:hAnsi="Calibri"/>
                <w:b/>
                <w:color w:val="FFFFFF"/>
                <w:sz w:val="19"/>
              </w:rPr>
              <w:t>Charts Synthesized</w:t>
            </w:r>
          </w:p>
        </w:tc>
        <w:tc>
          <w:tcPr>
            <w:tcW w:type="dxa" w:w="3168"/>
            <w:shd w:fill="1D3557"/>
            <w:tcMar>
              <w:top w:w="100" w:type="dxa"/>
              <w:bottom w:w="100" w:type="dxa"/>
              <w:left w:w="120" w:type="dxa"/>
              <w:right w:w="120" w:type="dxa"/>
            </w:tcMar>
          </w:tcPr>
          <w:p>
            <w:pPr>
              <w:jc w:val="right"/>
            </w:pPr>
            <w:r>
              <w:rPr>
                <w:rFonts w:ascii="Calibri" w:hAnsi="Calibri"/>
                <w:b/>
                <w:color w:val="FFFFFF"/>
                <w:sz w:val="19"/>
              </w:rPr>
              <w:t>Empirical Cross-Chart Evidence</w:t>
            </w:r>
          </w:p>
        </w:tc>
        <w:tc>
          <w:tcPr>
            <w:tcW w:type="dxa" w:w="2448"/>
            <w:shd w:fill="1D3557"/>
            <w:tcMar>
              <w:top w:w="100" w:type="dxa"/>
              <w:bottom w:w="100" w:type="dxa"/>
              <w:left w:w="120" w:type="dxa"/>
              <w:right w:w="120" w:type="dxa"/>
            </w:tcMar>
          </w:tcPr>
          <w:p>
            <w:pPr>
              <w:jc w:val="left"/>
            </w:pPr>
            <w:r>
              <w:rPr>
                <w:rFonts w:ascii="Calibri" w:hAnsi="Calibri"/>
                <w:b/>
                <w:color w:val="FFFFFF"/>
                <w:sz w:val="19"/>
              </w:rPr>
              <w:t>Executive Actionable Conclusion</w:t>
            </w:r>
          </w:p>
        </w:tc>
      </w:tr>
      <w:tr>
        <w:tc>
          <w:tcPr>
            <w:tcW w:type="dxa" w:w="1872"/>
            <w:shd w:fill="FFFFFF"/>
            <w:tcMar>
              <w:top w:w="80" w:type="dxa"/>
              <w:bottom w:w="80" w:type="dxa"/>
              <w:left w:w="120" w:type="dxa"/>
              <w:right w:w="120" w:type="dxa"/>
            </w:tcMar>
          </w:tcPr>
          <w:p>
            <w:pPr>
              <w:jc w:val="left"/>
            </w:pPr>
            <w:r>
              <w:rPr>
                <w:rFonts w:ascii="Calibri" w:hAnsi="Calibri"/>
                <w:color w:val="2B2D42"/>
                <w:sz w:val="18"/>
              </w:rPr>
              <w:t>The Volume-Profit Paradox</w:t>
            </w:r>
          </w:p>
        </w:tc>
        <w:tc>
          <w:tcPr>
            <w:tcW w:type="dxa" w:w="1872"/>
            <w:shd w:fill="FFFFFF"/>
            <w:tcMar>
              <w:top w:w="80" w:type="dxa"/>
              <w:bottom w:w="80" w:type="dxa"/>
              <w:left w:w="120" w:type="dxa"/>
              <w:right w:w="120" w:type="dxa"/>
            </w:tcMar>
          </w:tcPr>
          <w:p>
            <w:pPr>
              <w:jc w:val="right"/>
            </w:pPr>
            <w:r>
              <w:rPr>
                <w:rFonts w:ascii="Calibri" w:hAnsi="Calibri"/>
                <w:color w:val="2B2D42"/>
                <w:sz w:val="18"/>
              </w:rPr>
              <w:t>Vis 1 (Sales) &amp; Vis 2 (Profit)</w:t>
            </w:r>
          </w:p>
        </w:tc>
        <w:tc>
          <w:tcPr>
            <w:tcW w:type="dxa" w:w="3168"/>
            <w:shd w:fill="FFFFFF"/>
            <w:tcMar>
              <w:top w:w="80" w:type="dxa"/>
              <w:bottom w:w="80" w:type="dxa"/>
              <w:left w:w="120" w:type="dxa"/>
              <w:right w:w="120" w:type="dxa"/>
            </w:tcMar>
          </w:tcPr>
          <w:p>
            <w:pPr>
              <w:jc w:val="right"/>
            </w:pPr>
            <w:r>
              <w:rPr>
                <w:rFonts w:ascii="Calibri" w:hAnsi="Calibri"/>
                <w:color w:val="2B2D42"/>
                <w:sz w:val="18"/>
              </w:rPr>
              <w:t>Furniture captures 32.3% of sales but only 6.4% of profit.</w:t>
            </w:r>
          </w:p>
        </w:tc>
        <w:tc>
          <w:tcPr>
            <w:tcW w:type="dxa" w:w="2448"/>
            <w:shd w:fill="FFFFFF"/>
            <w:tcMar>
              <w:top w:w="80" w:type="dxa"/>
              <w:bottom w:w="80" w:type="dxa"/>
              <w:left w:w="120" w:type="dxa"/>
              <w:right w:w="120" w:type="dxa"/>
            </w:tcMar>
          </w:tcPr>
          <w:p>
            <w:pPr>
              <w:jc w:val="left"/>
            </w:pPr>
            <w:r>
              <w:rPr>
                <w:rFonts w:ascii="Calibri" w:hAnsi="Calibri"/>
                <w:color w:val="2B2D42"/>
                <w:sz w:val="18"/>
              </w:rPr>
              <w:t>Revenue equality does not equal profit equality; resource reallocation required.</w:t>
            </w:r>
          </w:p>
        </w:tc>
      </w:tr>
      <w:tr>
        <w:tc>
          <w:tcPr>
            <w:tcW w:type="dxa" w:w="1872"/>
            <w:shd w:fill="F8F9FA"/>
            <w:tcMar>
              <w:top w:w="80" w:type="dxa"/>
              <w:bottom w:w="80" w:type="dxa"/>
              <w:left w:w="120" w:type="dxa"/>
              <w:right w:w="120" w:type="dxa"/>
            </w:tcMar>
          </w:tcPr>
          <w:p>
            <w:pPr>
              <w:jc w:val="left"/>
            </w:pPr>
            <w:r>
              <w:rPr>
                <w:rFonts w:ascii="Calibri" w:hAnsi="Calibri"/>
                <w:color w:val="2B2D42"/>
                <w:sz w:val="18"/>
              </w:rPr>
              <w:t>The Sub-Category Drain</w:t>
            </w:r>
          </w:p>
        </w:tc>
        <w:tc>
          <w:tcPr>
            <w:tcW w:type="dxa" w:w="1872"/>
            <w:shd w:fill="F8F9FA"/>
            <w:tcMar>
              <w:top w:w="80" w:type="dxa"/>
              <w:bottom w:w="80" w:type="dxa"/>
              <w:left w:w="120" w:type="dxa"/>
              <w:right w:w="120" w:type="dxa"/>
            </w:tcMar>
          </w:tcPr>
          <w:p>
            <w:pPr>
              <w:jc w:val="right"/>
            </w:pPr>
            <w:r>
              <w:rPr>
                <w:rFonts w:ascii="Calibri" w:hAnsi="Calibri"/>
                <w:color w:val="2B2D42"/>
                <w:sz w:val="18"/>
              </w:rPr>
              <w:t>Vis 8 (Sub-Cats) &amp; Vis 9 (Box Plot)</w:t>
            </w:r>
          </w:p>
        </w:tc>
        <w:tc>
          <w:tcPr>
            <w:tcW w:type="dxa" w:w="3168"/>
            <w:shd w:fill="F8F9FA"/>
            <w:tcMar>
              <w:top w:w="80" w:type="dxa"/>
              <w:bottom w:w="80" w:type="dxa"/>
              <w:left w:w="120" w:type="dxa"/>
              <w:right w:w="120" w:type="dxa"/>
            </w:tcMar>
          </w:tcPr>
          <w:p>
            <w:pPr>
              <w:jc w:val="right"/>
            </w:pPr>
            <w:r>
              <w:rPr>
                <w:rFonts w:ascii="Calibri" w:hAnsi="Calibri"/>
                <w:color w:val="2B2D42"/>
                <w:sz w:val="18"/>
              </w:rPr>
              <w:t>Tables (-$17.7K) and Bookcases (-$3.5K) destroy Furniture margin.</w:t>
            </w:r>
          </w:p>
        </w:tc>
        <w:tc>
          <w:tcPr>
            <w:tcW w:type="dxa" w:w="2448"/>
            <w:shd w:fill="F8F9FA"/>
            <w:tcMar>
              <w:top w:w="80" w:type="dxa"/>
              <w:bottom w:w="80" w:type="dxa"/>
              <w:left w:w="120" w:type="dxa"/>
              <w:right w:w="120" w:type="dxa"/>
            </w:tcMar>
          </w:tcPr>
          <w:p>
            <w:pPr>
              <w:jc w:val="left"/>
            </w:pPr>
            <w:r>
              <w:rPr>
                <w:rFonts w:ascii="Calibri" w:hAnsi="Calibri"/>
                <w:color w:val="2B2D42"/>
                <w:sz w:val="18"/>
              </w:rPr>
              <w:t>Restructure pricing and vendor contracts for Tables and Bookcases immediately.</w:t>
            </w:r>
          </w:p>
        </w:tc>
      </w:tr>
      <w:tr>
        <w:tc>
          <w:tcPr>
            <w:tcW w:type="dxa" w:w="1872"/>
            <w:shd w:fill="FFFFFF"/>
            <w:tcMar>
              <w:top w:w="80" w:type="dxa"/>
              <w:bottom w:w="80" w:type="dxa"/>
              <w:left w:w="120" w:type="dxa"/>
              <w:right w:w="120" w:type="dxa"/>
            </w:tcMar>
          </w:tcPr>
          <w:p>
            <w:pPr>
              <w:jc w:val="left"/>
            </w:pPr>
            <w:r>
              <w:rPr>
                <w:rFonts w:ascii="Calibri" w:hAnsi="Calibri"/>
                <w:color w:val="2B2D42"/>
                <w:sz w:val="18"/>
              </w:rPr>
              <w:t>The Discount Cliff</w:t>
            </w:r>
          </w:p>
        </w:tc>
        <w:tc>
          <w:tcPr>
            <w:tcW w:type="dxa" w:w="1872"/>
            <w:shd w:fill="FFFFFF"/>
            <w:tcMar>
              <w:top w:w="80" w:type="dxa"/>
              <w:bottom w:w="80" w:type="dxa"/>
              <w:left w:w="120" w:type="dxa"/>
              <w:right w:w="120" w:type="dxa"/>
            </w:tcMar>
          </w:tcPr>
          <w:p>
            <w:pPr>
              <w:jc w:val="right"/>
            </w:pPr>
            <w:r>
              <w:rPr>
                <w:rFonts w:ascii="Calibri" w:hAnsi="Calibri"/>
                <w:color w:val="2B2D42"/>
                <w:sz w:val="18"/>
              </w:rPr>
              <w:t>Vis 6 (Discount) &amp; Vis 10 (Regions)</w:t>
            </w:r>
          </w:p>
        </w:tc>
        <w:tc>
          <w:tcPr>
            <w:tcW w:type="dxa" w:w="3168"/>
            <w:shd w:fill="FFFFFF"/>
            <w:tcMar>
              <w:top w:w="80" w:type="dxa"/>
              <w:bottom w:w="80" w:type="dxa"/>
              <w:left w:w="120" w:type="dxa"/>
              <w:right w:w="120" w:type="dxa"/>
            </w:tcMar>
          </w:tcPr>
          <w:p>
            <w:pPr>
              <w:jc w:val="right"/>
            </w:pPr>
            <w:r>
              <w:rPr>
                <w:rFonts w:ascii="Calibri" w:hAnsi="Calibri"/>
                <w:color w:val="2B2D42"/>
                <w:sz w:val="18"/>
              </w:rPr>
              <w:t>Discounts &gt; 20% cause losses; Central region discounts 24.0% average.</w:t>
            </w:r>
          </w:p>
        </w:tc>
        <w:tc>
          <w:tcPr>
            <w:tcW w:type="dxa" w:w="2448"/>
            <w:shd w:fill="FFFFFF"/>
            <w:tcMar>
              <w:top w:w="80" w:type="dxa"/>
              <w:bottom w:w="80" w:type="dxa"/>
              <w:left w:w="120" w:type="dxa"/>
              <w:right w:w="120" w:type="dxa"/>
            </w:tcMar>
          </w:tcPr>
          <w:p>
            <w:pPr>
              <w:jc w:val="right"/>
            </w:pPr>
            <w:r>
              <w:rPr>
                <w:rFonts w:ascii="Calibri" w:hAnsi="Calibri"/>
                <w:color w:val="2B2D42"/>
                <w:sz w:val="18"/>
              </w:rPr>
              <w:t>Implement mandatory managerial approval for all discounts exceeding 20%.</w:t>
            </w:r>
          </w:p>
        </w:tc>
      </w:tr>
      <w:tr>
        <w:tc>
          <w:tcPr>
            <w:tcW w:type="dxa" w:w="1872"/>
            <w:shd w:fill="F8F9FA"/>
            <w:tcMar>
              <w:top w:w="80" w:type="dxa"/>
              <w:bottom w:w="80" w:type="dxa"/>
              <w:left w:w="120" w:type="dxa"/>
              <w:right w:w="120" w:type="dxa"/>
            </w:tcMar>
          </w:tcPr>
          <w:p>
            <w:pPr>
              <w:jc w:val="left"/>
            </w:pPr>
            <w:r>
              <w:rPr>
                <w:rFonts w:ascii="Calibri" w:hAnsi="Calibri"/>
                <w:color w:val="2B2D42"/>
                <w:sz w:val="18"/>
              </w:rPr>
              <w:t>High-Value Asymmetry</w:t>
            </w:r>
          </w:p>
        </w:tc>
        <w:tc>
          <w:tcPr>
            <w:tcW w:type="dxa" w:w="1872"/>
            <w:shd w:fill="F8F9FA"/>
            <w:tcMar>
              <w:top w:w="80" w:type="dxa"/>
              <w:bottom w:w="80" w:type="dxa"/>
              <w:left w:w="120" w:type="dxa"/>
              <w:right w:w="120" w:type="dxa"/>
            </w:tcMar>
          </w:tcPr>
          <w:p>
            <w:pPr>
              <w:jc w:val="right"/>
            </w:pPr>
            <w:r>
              <w:rPr>
                <w:rFonts w:ascii="Calibri" w:hAnsi="Calibri"/>
                <w:color w:val="2B2D42"/>
                <w:sz w:val="18"/>
              </w:rPr>
              <w:t>Vis 3 (Sales Dist) &amp; Vis 7 (Scatter)</w:t>
            </w:r>
          </w:p>
        </w:tc>
        <w:tc>
          <w:tcPr>
            <w:tcW w:type="dxa" w:w="3168"/>
            <w:shd w:fill="F8F9FA"/>
            <w:tcMar>
              <w:top w:w="80" w:type="dxa"/>
              <w:bottom w:w="80" w:type="dxa"/>
              <w:left w:w="120" w:type="dxa"/>
              <w:right w:w="120" w:type="dxa"/>
            </w:tcMar>
          </w:tcPr>
          <w:p>
            <w:pPr>
              <w:jc w:val="right"/>
            </w:pPr>
            <w:r>
              <w:rPr>
                <w:rFonts w:ascii="Calibri" w:hAnsi="Calibri"/>
                <w:color w:val="2B2D42"/>
                <w:sz w:val="18"/>
              </w:rPr>
              <w:t>High-value deals flare into extreme profits or -$6.6K losses.</w:t>
            </w:r>
          </w:p>
        </w:tc>
        <w:tc>
          <w:tcPr>
            <w:tcW w:type="dxa" w:w="2448"/>
            <w:shd w:fill="F8F9FA"/>
            <w:tcMar>
              <w:top w:w="80" w:type="dxa"/>
              <w:bottom w:w="80" w:type="dxa"/>
              <w:left w:w="120" w:type="dxa"/>
              <w:right w:w="120" w:type="dxa"/>
            </w:tcMar>
          </w:tcPr>
          <w:p>
            <w:pPr>
              <w:jc w:val="right"/>
            </w:pPr>
            <w:r>
              <w:rPr>
                <w:rFonts w:ascii="Calibri" w:hAnsi="Calibri"/>
                <w:color w:val="2B2D42"/>
                <w:sz w:val="18"/>
              </w:rPr>
              <w:t>Institute strict deal desk oversight on all commercial quotes exceeding $2,500.</w:t>
            </w:r>
          </w:p>
        </w:tc>
      </w:tr>
      <w:tr>
        <w:tc>
          <w:tcPr>
            <w:tcW w:type="dxa" w:w="1872"/>
            <w:shd w:fill="FFFFFF"/>
            <w:tcMar>
              <w:top w:w="80" w:type="dxa"/>
              <w:bottom w:w="80" w:type="dxa"/>
              <w:left w:w="120" w:type="dxa"/>
              <w:right w:w="120" w:type="dxa"/>
            </w:tcMar>
          </w:tcPr>
          <w:p>
            <w:pPr>
              <w:jc w:val="left"/>
            </w:pPr>
            <w:r>
              <w:rPr>
                <w:rFonts w:ascii="Calibri" w:hAnsi="Calibri"/>
                <w:color w:val="2B2D42"/>
                <w:sz w:val="18"/>
              </w:rPr>
              <w:t>Logistics Efficiency</w:t>
            </w:r>
          </w:p>
        </w:tc>
        <w:tc>
          <w:tcPr>
            <w:tcW w:type="dxa" w:w="1872"/>
            <w:shd w:fill="FFFFFF"/>
            <w:tcMar>
              <w:top w:w="80" w:type="dxa"/>
              <w:bottom w:w="80" w:type="dxa"/>
              <w:left w:w="120" w:type="dxa"/>
              <w:right w:w="120" w:type="dxa"/>
            </w:tcMar>
          </w:tcPr>
          <w:p>
            <w:pPr>
              <w:jc w:val="right"/>
            </w:pPr>
            <w:r>
              <w:rPr>
                <w:rFonts w:ascii="Calibri" w:hAnsi="Calibri"/>
                <w:color w:val="2B2D42"/>
                <w:sz w:val="18"/>
              </w:rPr>
              <w:t>Vis 11 (Shipping) &amp; Vis 5 (Trend)</w:t>
            </w:r>
          </w:p>
        </w:tc>
        <w:tc>
          <w:tcPr>
            <w:tcW w:type="dxa" w:w="3168"/>
            <w:shd w:fill="FFFFFF"/>
            <w:tcMar>
              <w:top w:w="80" w:type="dxa"/>
              <w:bottom w:w="80" w:type="dxa"/>
              <w:left w:w="120" w:type="dxa"/>
              <w:right w:w="120" w:type="dxa"/>
            </w:tcMar>
          </w:tcPr>
          <w:p>
            <w:pPr>
              <w:jc w:val="right"/>
            </w:pPr>
            <w:r>
              <w:rPr>
                <w:rFonts w:ascii="Calibri" w:hAnsi="Calibri"/>
                <w:color w:val="2B2D42"/>
                <w:sz w:val="18"/>
              </w:rPr>
              <w:t>Fulfillment adheres 100% to SLAs across all delivery tiers.</w:t>
            </w:r>
          </w:p>
        </w:tc>
        <w:tc>
          <w:tcPr>
            <w:tcW w:type="dxa" w:w="2448"/>
            <w:shd w:fill="FFFFFF"/>
            <w:tcMar>
              <w:top w:w="80" w:type="dxa"/>
              <w:bottom w:w="80" w:type="dxa"/>
              <w:left w:w="120" w:type="dxa"/>
              <w:right w:w="120" w:type="dxa"/>
            </w:tcMar>
          </w:tcPr>
          <w:p>
            <w:pPr>
              <w:jc w:val="left"/>
            </w:pPr>
            <w:r>
              <w:rPr>
                <w:rFonts w:ascii="Calibri" w:hAnsi="Calibri"/>
                <w:color w:val="2B2D42"/>
                <w:sz w:val="18"/>
              </w:rPr>
              <w:t>Fulfillment operations are sound; operational focus must center on pricing governance.</w:t>
            </w:r>
          </w:p>
        </w:tc>
      </w:tr>
    </w:tbl>
    <w:p>
      <w:pPr>
        <w:spacing w:after="80"/>
      </w:pPr>
    </w:p>
    <w:p>
      <w:r>
        <w:br w:type="page"/>
      </w:r>
    </w:p>
    <w:p>
      <w:pPr>
        <w:keepNext/>
        <w:spacing w:before="320" w:after="120"/>
      </w:pPr>
      <w:r>
        <w:rPr>
          <w:rFonts w:ascii="Calibri" w:hAnsi="Calibri"/>
          <w:b/>
          <w:color w:val="1D3557"/>
          <w:sz w:val="34"/>
        </w:rPr>
        <w:t>20. OUTLIER &amp; ANOMALY FORENSIC INVESTIGATION</w:t>
      </w:r>
    </w:p>
    <w:p>
      <w:pPr>
        <w:keepNext/>
        <w:spacing w:before="240" w:after="80"/>
      </w:pPr>
      <w:r>
        <w:rPr>
          <w:rFonts w:ascii="Calibri" w:hAnsi="Calibri"/>
          <w:b/>
          <w:color w:val="457B9D"/>
          <w:sz w:val="27"/>
        </w:rPr>
        <w:t>20.1 Statistical Outlier Detection Framework (IQR Criteria)</w:t>
      </w:r>
    </w:p>
    <w:p>
      <w:pPr>
        <w:spacing w:after="80" w:line="276" w:lineRule="auto"/>
      </w:pPr>
      <w:r>
        <w:rPr>
          <w:rFonts w:ascii="Calibri" w:hAnsi="Calibri"/>
          <w:color w:val="2B2D42"/>
          <w:sz w:val="22"/>
        </w:rPr>
        <w:t>Following Method 6, statistical outliers were identified using the non-parametric Interquartile Range (IQR) rule: observations falling below Q1 - 1.5 * IQR or above Q3 + 1.5 * IQR were flagged for forensic evaluation. Table 3 presents the audited statistical boundaries.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936"/>
        <w:gridCol w:w="936"/>
        <w:gridCol w:w="936"/>
        <w:gridCol w:w="936"/>
        <w:gridCol w:w="936"/>
        <w:gridCol w:w="936"/>
        <w:gridCol w:w="936"/>
        <w:gridCol w:w="936"/>
        <w:gridCol w:w="936"/>
        <w:gridCol w:w="936"/>
      </w:tblGrid>
      <w:tr>
        <w:tc>
          <w:tcPr>
            <w:tcW w:type="dxa" w:w="1584"/>
            <w:shd w:fill="1D3557"/>
            <w:tcMar>
              <w:top w:w="100" w:type="dxa"/>
              <w:bottom w:w="100" w:type="dxa"/>
              <w:left w:w="120" w:type="dxa"/>
              <w:right w:w="120" w:type="dxa"/>
            </w:tcMar>
          </w:tcPr>
          <w:p>
            <w:pPr>
              <w:jc w:val="left"/>
            </w:pPr>
            <w:r>
              <w:rPr>
                <w:rFonts w:ascii="Calibri" w:hAnsi="Calibri"/>
                <w:b/>
                <w:color w:val="FFFFFF"/>
                <w:sz w:val="19"/>
              </w:rPr>
              <w:t>Variable</w:t>
            </w:r>
          </w:p>
        </w:tc>
        <w:tc>
          <w:tcPr>
            <w:tcW w:type="dxa" w:w="720"/>
            <w:shd w:fill="1D3557"/>
            <w:tcMar>
              <w:top w:w="100" w:type="dxa"/>
              <w:bottom w:w="100" w:type="dxa"/>
              <w:left w:w="120" w:type="dxa"/>
              <w:right w:w="120" w:type="dxa"/>
            </w:tcMar>
          </w:tcPr>
          <w:p>
            <w:pPr>
              <w:jc w:val="right"/>
            </w:pPr>
            <w:r>
              <w:rPr>
                <w:rFonts w:ascii="Calibri" w:hAnsi="Calibri"/>
                <w:b/>
                <w:color w:val="FFFFFF"/>
                <w:sz w:val="19"/>
              </w:rPr>
              <w:t>Q1 (25%)</w:t>
            </w:r>
          </w:p>
        </w:tc>
        <w:tc>
          <w:tcPr>
            <w:tcW w:type="dxa" w:w="720"/>
            <w:shd w:fill="1D3557"/>
            <w:tcMar>
              <w:top w:w="100" w:type="dxa"/>
              <w:bottom w:w="100" w:type="dxa"/>
              <w:left w:w="120" w:type="dxa"/>
              <w:right w:w="120" w:type="dxa"/>
            </w:tcMar>
          </w:tcPr>
          <w:p>
            <w:pPr>
              <w:jc w:val="right"/>
            </w:pPr>
            <w:r>
              <w:rPr>
                <w:rFonts w:ascii="Calibri" w:hAnsi="Calibri"/>
                <w:b/>
                <w:color w:val="FFFFFF"/>
                <w:sz w:val="19"/>
              </w:rPr>
              <w:t>Median</w:t>
            </w:r>
          </w:p>
        </w:tc>
        <w:tc>
          <w:tcPr>
            <w:tcW w:type="dxa" w:w="720"/>
            <w:shd w:fill="1D3557"/>
            <w:tcMar>
              <w:top w:w="100" w:type="dxa"/>
              <w:bottom w:w="100" w:type="dxa"/>
              <w:left w:w="120" w:type="dxa"/>
              <w:right w:w="120" w:type="dxa"/>
            </w:tcMar>
          </w:tcPr>
          <w:p>
            <w:pPr>
              <w:jc w:val="right"/>
            </w:pPr>
            <w:r>
              <w:rPr>
                <w:rFonts w:ascii="Calibri" w:hAnsi="Calibri"/>
                <w:b/>
                <w:color w:val="FFFFFF"/>
                <w:sz w:val="19"/>
              </w:rPr>
              <w:t>Q3 (75%)</w:t>
            </w:r>
          </w:p>
        </w:tc>
        <w:tc>
          <w:tcPr>
            <w:tcW w:type="dxa" w:w="720"/>
            <w:shd w:fill="1D3557"/>
            <w:tcMar>
              <w:top w:w="100" w:type="dxa"/>
              <w:bottom w:w="100" w:type="dxa"/>
              <w:left w:w="120" w:type="dxa"/>
              <w:right w:w="120" w:type="dxa"/>
            </w:tcMar>
          </w:tcPr>
          <w:p>
            <w:pPr>
              <w:jc w:val="right"/>
            </w:pPr>
            <w:r>
              <w:rPr>
                <w:rFonts w:ascii="Calibri" w:hAnsi="Calibri"/>
                <w:b/>
                <w:color w:val="FFFFFF"/>
                <w:sz w:val="19"/>
              </w:rPr>
              <w:t>IQR</w:t>
            </w:r>
          </w:p>
        </w:tc>
        <w:tc>
          <w:tcPr>
            <w:tcW w:type="dxa" w:w="864"/>
            <w:shd w:fill="1D3557"/>
            <w:tcMar>
              <w:top w:w="100" w:type="dxa"/>
              <w:bottom w:w="100" w:type="dxa"/>
              <w:left w:w="120" w:type="dxa"/>
              <w:right w:w="120" w:type="dxa"/>
            </w:tcMar>
          </w:tcPr>
          <w:p>
            <w:pPr>
              <w:jc w:val="right"/>
            </w:pPr>
            <w:r>
              <w:rPr>
                <w:rFonts w:ascii="Calibri" w:hAnsi="Calibri"/>
                <w:b/>
                <w:color w:val="FFFFFF"/>
                <w:sz w:val="19"/>
              </w:rPr>
              <w:t>Lower Limit</w:t>
            </w:r>
          </w:p>
        </w:tc>
        <w:tc>
          <w:tcPr>
            <w:tcW w:type="dxa" w:w="864"/>
            <w:shd w:fill="1D3557"/>
            <w:tcMar>
              <w:top w:w="100" w:type="dxa"/>
              <w:bottom w:w="100" w:type="dxa"/>
              <w:left w:w="120" w:type="dxa"/>
              <w:right w:w="120" w:type="dxa"/>
            </w:tcMar>
          </w:tcPr>
          <w:p>
            <w:pPr>
              <w:jc w:val="right"/>
            </w:pPr>
            <w:r>
              <w:rPr>
                <w:rFonts w:ascii="Calibri" w:hAnsi="Calibri"/>
                <w:b/>
                <w:color w:val="FFFFFF"/>
                <w:sz w:val="19"/>
              </w:rPr>
              <w:t>Upper Limit</w:t>
            </w:r>
          </w:p>
        </w:tc>
        <w:tc>
          <w:tcPr>
            <w:tcW w:type="dxa" w:w="1440"/>
            <w:shd w:fill="1D3557"/>
            <w:tcMar>
              <w:top w:w="100" w:type="dxa"/>
              <w:bottom w:w="100" w:type="dxa"/>
              <w:left w:w="120" w:type="dxa"/>
              <w:right w:w="120" w:type="dxa"/>
            </w:tcMar>
          </w:tcPr>
          <w:p>
            <w:pPr>
              <w:jc w:val="right"/>
            </w:pPr>
            <w:r>
              <w:rPr>
                <w:rFonts w:ascii="Calibri" w:hAnsi="Calibri"/>
                <w:b/>
                <w:color w:val="FFFFFF"/>
                <w:sz w:val="19"/>
              </w:rPr>
              <w:t>Outlier Count (%)</w:t>
            </w:r>
          </w:p>
        </w:tc>
        <w:tc>
          <w:tcPr>
            <w:tcW w:type="dxa" w:w="864"/>
            <w:shd w:fill="1D3557"/>
            <w:tcMar>
              <w:top w:w="100" w:type="dxa"/>
              <w:bottom w:w="100" w:type="dxa"/>
              <w:left w:w="120" w:type="dxa"/>
              <w:right w:w="120" w:type="dxa"/>
            </w:tcMar>
          </w:tcPr>
          <w:p>
            <w:pPr>
              <w:jc w:val="right"/>
            </w:pPr>
            <w:r>
              <w:rPr>
                <w:rFonts w:ascii="Calibri" w:hAnsi="Calibri"/>
                <w:b/>
                <w:color w:val="FFFFFF"/>
                <w:sz w:val="19"/>
              </w:rPr>
              <w:t>Min Observed</w:t>
            </w:r>
          </w:p>
        </w:tc>
        <w:tc>
          <w:tcPr>
            <w:tcW w:type="dxa" w:w="864"/>
            <w:shd w:fill="1D3557"/>
            <w:tcMar>
              <w:top w:w="100" w:type="dxa"/>
              <w:bottom w:w="100" w:type="dxa"/>
              <w:left w:w="120" w:type="dxa"/>
              <w:right w:w="120" w:type="dxa"/>
            </w:tcMar>
          </w:tcPr>
          <w:p>
            <w:pPr>
              <w:jc w:val="right"/>
            </w:pPr>
            <w:r>
              <w:rPr>
                <w:rFonts w:ascii="Calibri" w:hAnsi="Calibri"/>
                <w:b/>
                <w:color w:val="FFFFFF"/>
                <w:sz w:val="19"/>
              </w:rPr>
              <w:t>Max Observed</w:t>
            </w:r>
          </w:p>
        </w:tc>
      </w:tr>
      <w:tr>
        <w:tc>
          <w:tcPr>
            <w:tcW w:type="dxa" w:w="1584"/>
            <w:shd w:fill="FFFFFF"/>
            <w:tcMar>
              <w:top w:w="80" w:type="dxa"/>
              <w:bottom w:w="80" w:type="dxa"/>
              <w:left w:w="120" w:type="dxa"/>
              <w:right w:w="120" w:type="dxa"/>
            </w:tcMar>
          </w:tcPr>
          <w:p>
            <w:pPr>
              <w:jc w:val="left"/>
            </w:pPr>
            <w:r>
              <w:rPr>
                <w:rFonts w:ascii="Calibri" w:hAnsi="Calibri"/>
                <w:color w:val="2B2D42"/>
                <w:sz w:val="18"/>
              </w:rPr>
              <w:t>Sales ($)</w:t>
            </w:r>
          </w:p>
        </w:tc>
        <w:tc>
          <w:tcPr>
            <w:tcW w:type="dxa" w:w="720"/>
            <w:shd w:fill="FFFFFF"/>
            <w:tcMar>
              <w:top w:w="80" w:type="dxa"/>
              <w:bottom w:w="80" w:type="dxa"/>
              <w:left w:w="120" w:type="dxa"/>
              <w:right w:w="120" w:type="dxa"/>
            </w:tcMar>
          </w:tcPr>
          <w:p>
            <w:pPr>
              <w:jc w:val="right"/>
            </w:pPr>
            <w:r>
              <w:rPr>
                <w:rFonts w:ascii="Calibri" w:hAnsi="Calibri"/>
                <w:color w:val="2B2D42"/>
                <w:sz w:val="18"/>
              </w:rPr>
              <w:t>17.28</w:t>
            </w:r>
          </w:p>
        </w:tc>
        <w:tc>
          <w:tcPr>
            <w:tcW w:type="dxa" w:w="720"/>
            <w:shd w:fill="FFFFFF"/>
            <w:tcMar>
              <w:top w:w="80" w:type="dxa"/>
              <w:bottom w:w="80" w:type="dxa"/>
              <w:left w:w="120" w:type="dxa"/>
              <w:right w:w="120" w:type="dxa"/>
            </w:tcMar>
          </w:tcPr>
          <w:p>
            <w:pPr>
              <w:jc w:val="right"/>
            </w:pPr>
            <w:r>
              <w:rPr>
                <w:rFonts w:ascii="Calibri" w:hAnsi="Calibri"/>
                <w:color w:val="2B2D42"/>
                <w:sz w:val="18"/>
              </w:rPr>
              <w:t>54.49</w:t>
            </w:r>
          </w:p>
        </w:tc>
        <w:tc>
          <w:tcPr>
            <w:tcW w:type="dxa" w:w="720"/>
            <w:shd w:fill="FFFFFF"/>
            <w:tcMar>
              <w:top w:w="80" w:type="dxa"/>
              <w:bottom w:w="80" w:type="dxa"/>
              <w:left w:w="120" w:type="dxa"/>
              <w:right w:w="120" w:type="dxa"/>
            </w:tcMar>
          </w:tcPr>
          <w:p>
            <w:pPr>
              <w:jc w:val="right"/>
            </w:pPr>
            <w:r>
              <w:rPr>
                <w:rFonts w:ascii="Calibri" w:hAnsi="Calibri"/>
                <w:color w:val="2B2D42"/>
                <w:sz w:val="18"/>
              </w:rPr>
              <w:t>209.94</w:t>
            </w:r>
          </w:p>
        </w:tc>
        <w:tc>
          <w:tcPr>
            <w:tcW w:type="dxa" w:w="720"/>
            <w:shd w:fill="FFFFFF"/>
            <w:tcMar>
              <w:top w:w="80" w:type="dxa"/>
              <w:bottom w:w="80" w:type="dxa"/>
              <w:left w:w="120" w:type="dxa"/>
              <w:right w:w="120" w:type="dxa"/>
            </w:tcMar>
          </w:tcPr>
          <w:p>
            <w:pPr>
              <w:jc w:val="right"/>
            </w:pPr>
            <w:r>
              <w:rPr>
                <w:rFonts w:ascii="Calibri" w:hAnsi="Calibri"/>
                <w:color w:val="2B2D42"/>
                <w:sz w:val="18"/>
              </w:rPr>
              <w:t>192.66</w:t>
            </w:r>
          </w:p>
        </w:tc>
        <w:tc>
          <w:tcPr>
            <w:tcW w:type="dxa" w:w="864"/>
            <w:shd w:fill="FFFFFF"/>
            <w:tcMar>
              <w:top w:w="80" w:type="dxa"/>
              <w:bottom w:w="80" w:type="dxa"/>
              <w:left w:w="120" w:type="dxa"/>
              <w:right w:w="120" w:type="dxa"/>
            </w:tcMar>
          </w:tcPr>
          <w:p>
            <w:pPr>
              <w:jc w:val="right"/>
            </w:pPr>
            <w:r>
              <w:rPr>
                <w:rFonts w:ascii="Calibri" w:hAnsi="Calibri"/>
                <w:color w:val="2B2D42"/>
                <w:sz w:val="18"/>
              </w:rPr>
              <w:t>-271.71</w:t>
            </w:r>
          </w:p>
        </w:tc>
        <w:tc>
          <w:tcPr>
            <w:tcW w:type="dxa" w:w="864"/>
            <w:shd w:fill="FFFFFF"/>
            <w:tcMar>
              <w:top w:w="80" w:type="dxa"/>
              <w:bottom w:w="80" w:type="dxa"/>
              <w:left w:w="120" w:type="dxa"/>
              <w:right w:w="120" w:type="dxa"/>
            </w:tcMar>
          </w:tcPr>
          <w:p>
            <w:pPr>
              <w:jc w:val="right"/>
            </w:pPr>
            <w:r>
              <w:rPr>
                <w:rFonts w:ascii="Calibri" w:hAnsi="Calibri"/>
                <w:color w:val="2B2D42"/>
                <w:sz w:val="18"/>
              </w:rPr>
              <w:t>498.93</w:t>
            </w:r>
          </w:p>
        </w:tc>
        <w:tc>
          <w:tcPr>
            <w:tcW w:type="dxa" w:w="1440"/>
            <w:shd w:fill="FFFFFF"/>
            <w:tcMar>
              <w:top w:w="80" w:type="dxa"/>
              <w:bottom w:w="80" w:type="dxa"/>
              <w:left w:w="120" w:type="dxa"/>
              <w:right w:w="120" w:type="dxa"/>
            </w:tcMar>
          </w:tcPr>
          <w:p>
            <w:pPr>
              <w:jc w:val="right"/>
            </w:pPr>
            <w:r>
              <w:rPr>
                <w:rFonts w:ascii="Calibri" w:hAnsi="Calibri"/>
                <w:color w:val="2B2D42"/>
                <w:sz w:val="18"/>
              </w:rPr>
              <w:t>1,167 (11.68%)</w:t>
            </w:r>
          </w:p>
        </w:tc>
        <w:tc>
          <w:tcPr>
            <w:tcW w:type="dxa" w:w="864"/>
            <w:shd w:fill="FFFFFF"/>
            <w:tcMar>
              <w:top w:w="80" w:type="dxa"/>
              <w:bottom w:w="80" w:type="dxa"/>
              <w:left w:w="120" w:type="dxa"/>
              <w:right w:w="120" w:type="dxa"/>
            </w:tcMar>
          </w:tcPr>
          <w:p>
            <w:pPr>
              <w:jc w:val="right"/>
            </w:pPr>
            <w:r>
              <w:rPr>
                <w:rFonts w:ascii="Calibri" w:hAnsi="Calibri"/>
                <w:color w:val="2B2D42"/>
                <w:sz w:val="18"/>
              </w:rPr>
              <w:t>$0.44</w:t>
            </w:r>
          </w:p>
        </w:tc>
        <w:tc>
          <w:tcPr>
            <w:tcW w:type="dxa" w:w="864"/>
            <w:shd w:fill="FFFFFF"/>
            <w:tcMar>
              <w:top w:w="80" w:type="dxa"/>
              <w:bottom w:w="80" w:type="dxa"/>
              <w:left w:w="120" w:type="dxa"/>
              <w:right w:w="120" w:type="dxa"/>
            </w:tcMar>
          </w:tcPr>
          <w:p>
            <w:pPr>
              <w:jc w:val="right"/>
            </w:pPr>
            <w:r>
              <w:rPr>
                <w:rFonts w:ascii="Calibri" w:hAnsi="Calibri"/>
                <w:color w:val="2B2D42"/>
                <w:sz w:val="18"/>
              </w:rPr>
              <w:t>$22,638.48</w:t>
            </w:r>
          </w:p>
        </w:tc>
      </w:tr>
      <w:tr>
        <w:tc>
          <w:tcPr>
            <w:tcW w:type="dxa" w:w="1584"/>
            <w:shd w:fill="F8F9FA"/>
            <w:tcMar>
              <w:top w:w="80" w:type="dxa"/>
              <w:bottom w:w="80" w:type="dxa"/>
              <w:left w:w="120" w:type="dxa"/>
              <w:right w:w="120" w:type="dxa"/>
            </w:tcMar>
          </w:tcPr>
          <w:p>
            <w:pPr>
              <w:jc w:val="left"/>
            </w:pPr>
            <w:r>
              <w:rPr>
                <w:rFonts w:ascii="Calibri" w:hAnsi="Calibri"/>
                <w:color w:val="2B2D42"/>
                <w:sz w:val="18"/>
              </w:rPr>
              <w:t>Profit ($)</w:t>
            </w:r>
          </w:p>
        </w:tc>
        <w:tc>
          <w:tcPr>
            <w:tcW w:type="dxa" w:w="720"/>
            <w:shd w:fill="F8F9FA"/>
            <w:tcMar>
              <w:top w:w="80" w:type="dxa"/>
              <w:bottom w:w="80" w:type="dxa"/>
              <w:left w:w="120" w:type="dxa"/>
              <w:right w:w="120" w:type="dxa"/>
            </w:tcMar>
          </w:tcPr>
          <w:p>
            <w:pPr>
              <w:jc w:val="right"/>
            </w:pPr>
            <w:r>
              <w:rPr>
                <w:rFonts w:ascii="Calibri" w:hAnsi="Calibri"/>
                <w:color w:val="2B2D42"/>
                <w:sz w:val="18"/>
              </w:rPr>
              <w:t>1.73</w:t>
            </w:r>
          </w:p>
        </w:tc>
        <w:tc>
          <w:tcPr>
            <w:tcW w:type="dxa" w:w="720"/>
            <w:shd w:fill="F8F9FA"/>
            <w:tcMar>
              <w:top w:w="80" w:type="dxa"/>
              <w:bottom w:w="80" w:type="dxa"/>
              <w:left w:w="120" w:type="dxa"/>
              <w:right w:w="120" w:type="dxa"/>
            </w:tcMar>
          </w:tcPr>
          <w:p>
            <w:pPr>
              <w:jc w:val="right"/>
            </w:pPr>
            <w:r>
              <w:rPr>
                <w:rFonts w:ascii="Calibri" w:hAnsi="Calibri"/>
                <w:color w:val="2B2D42"/>
                <w:sz w:val="18"/>
              </w:rPr>
              <w:t>8.67</w:t>
            </w:r>
          </w:p>
        </w:tc>
        <w:tc>
          <w:tcPr>
            <w:tcW w:type="dxa" w:w="720"/>
            <w:shd w:fill="F8F9FA"/>
            <w:tcMar>
              <w:top w:w="80" w:type="dxa"/>
              <w:bottom w:w="80" w:type="dxa"/>
              <w:left w:w="120" w:type="dxa"/>
              <w:right w:w="120" w:type="dxa"/>
            </w:tcMar>
          </w:tcPr>
          <w:p>
            <w:pPr>
              <w:jc w:val="right"/>
            </w:pPr>
            <w:r>
              <w:rPr>
                <w:rFonts w:ascii="Calibri" w:hAnsi="Calibri"/>
                <w:color w:val="2B2D42"/>
                <w:sz w:val="18"/>
              </w:rPr>
              <w:t>29.36</w:t>
            </w:r>
          </w:p>
        </w:tc>
        <w:tc>
          <w:tcPr>
            <w:tcW w:type="dxa" w:w="720"/>
            <w:shd w:fill="F8F9FA"/>
            <w:tcMar>
              <w:top w:w="80" w:type="dxa"/>
              <w:bottom w:w="80" w:type="dxa"/>
              <w:left w:w="120" w:type="dxa"/>
              <w:right w:w="120" w:type="dxa"/>
            </w:tcMar>
          </w:tcPr>
          <w:p>
            <w:pPr>
              <w:jc w:val="right"/>
            </w:pPr>
            <w:r>
              <w:rPr>
                <w:rFonts w:ascii="Calibri" w:hAnsi="Calibri"/>
                <w:color w:val="2B2D42"/>
                <w:sz w:val="18"/>
              </w:rPr>
              <w:t>27.64</w:t>
            </w:r>
          </w:p>
        </w:tc>
        <w:tc>
          <w:tcPr>
            <w:tcW w:type="dxa" w:w="864"/>
            <w:shd w:fill="F8F9FA"/>
            <w:tcMar>
              <w:top w:w="80" w:type="dxa"/>
              <w:bottom w:w="80" w:type="dxa"/>
              <w:left w:w="120" w:type="dxa"/>
              <w:right w:w="120" w:type="dxa"/>
            </w:tcMar>
          </w:tcPr>
          <w:p>
            <w:pPr>
              <w:jc w:val="right"/>
            </w:pPr>
            <w:r>
              <w:rPr>
                <w:rFonts w:ascii="Calibri" w:hAnsi="Calibri"/>
                <w:color w:val="2B2D42"/>
                <w:sz w:val="18"/>
              </w:rPr>
              <w:t>-39.72</w:t>
            </w:r>
          </w:p>
        </w:tc>
        <w:tc>
          <w:tcPr>
            <w:tcW w:type="dxa" w:w="864"/>
            <w:shd w:fill="F8F9FA"/>
            <w:tcMar>
              <w:top w:w="80" w:type="dxa"/>
              <w:bottom w:w="80" w:type="dxa"/>
              <w:left w:w="120" w:type="dxa"/>
              <w:right w:w="120" w:type="dxa"/>
            </w:tcMar>
          </w:tcPr>
          <w:p>
            <w:pPr>
              <w:jc w:val="right"/>
            </w:pPr>
            <w:r>
              <w:rPr>
                <w:rFonts w:ascii="Calibri" w:hAnsi="Calibri"/>
                <w:color w:val="2B2D42"/>
                <w:sz w:val="18"/>
              </w:rPr>
              <w:t>70.82</w:t>
            </w:r>
          </w:p>
        </w:tc>
        <w:tc>
          <w:tcPr>
            <w:tcW w:type="dxa" w:w="1440"/>
            <w:shd w:fill="F8F9FA"/>
            <w:tcMar>
              <w:top w:w="80" w:type="dxa"/>
              <w:bottom w:w="80" w:type="dxa"/>
              <w:left w:w="120" w:type="dxa"/>
              <w:right w:w="120" w:type="dxa"/>
            </w:tcMar>
          </w:tcPr>
          <w:p>
            <w:pPr>
              <w:jc w:val="right"/>
            </w:pPr>
            <w:r>
              <w:rPr>
                <w:rFonts w:ascii="Calibri" w:hAnsi="Calibri"/>
                <w:color w:val="2B2D42"/>
                <w:sz w:val="18"/>
              </w:rPr>
              <w:t>1,881 (18.82%)</w:t>
            </w:r>
          </w:p>
        </w:tc>
        <w:tc>
          <w:tcPr>
            <w:tcW w:type="dxa" w:w="864"/>
            <w:shd w:fill="F8F9FA"/>
            <w:tcMar>
              <w:top w:w="80" w:type="dxa"/>
              <w:bottom w:w="80" w:type="dxa"/>
              <w:left w:w="120" w:type="dxa"/>
              <w:right w:w="120" w:type="dxa"/>
            </w:tcMar>
          </w:tcPr>
          <w:p>
            <w:pPr>
              <w:jc w:val="right"/>
            </w:pPr>
            <w:r>
              <w:rPr>
                <w:rFonts w:ascii="Calibri" w:hAnsi="Calibri"/>
                <w:color w:val="2B2D42"/>
                <w:sz w:val="18"/>
              </w:rPr>
              <w:t>-$6,599.98</w:t>
            </w:r>
          </w:p>
        </w:tc>
        <w:tc>
          <w:tcPr>
            <w:tcW w:type="dxa" w:w="864"/>
            <w:shd w:fill="F8F9FA"/>
            <w:tcMar>
              <w:top w:w="80" w:type="dxa"/>
              <w:bottom w:w="80" w:type="dxa"/>
              <w:left w:w="120" w:type="dxa"/>
              <w:right w:w="120" w:type="dxa"/>
            </w:tcMar>
          </w:tcPr>
          <w:p>
            <w:pPr>
              <w:jc w:val="right"/>
            </w:pPr>
            <w:r>
              <w:rPr>
                <w:rFonts w:ascii="Calibri" w:hAnsi="Calibri"/>
                <w:color w:val="2B2D42"/>
                <w:sz w:val="18"/>
              </w:rPr>
              <w:t>+$8,399.98</w:t>
            </w:r>
          </w:p>
        </w:tc>
      </w:tr>
      <w:tr>
        <w:tc>
          <w:tcPr>
            <w:tcW w:type="dxa" w:w="1584"/>
            <w:shd w:fill="FFFFFF"/>
            <w:tcMar>
              <w:top w:w="80" w:type="dxa"/>
              <w:bottom w:w="80" w:type="dxa"/>
              <w:left w:w="120" w:type="dxa"/>
              <w:right w:w="120" w:type="dxa"/>
            </w:tcMar>
          </w:tcPr>
          <w:p>
            <w:pPr>
              <w:jc w:val="left"/>
            </w:pPr>
            <w:r>
              <w:rPr>
                <w:rFonts w:ascii="Calibri" w:hAnsi="Calibri"/>
                <w:color w:val="2B2D42"/>
                <w:sz w:val="18"/>
              </w:rPr>
              <w:t>Discount (Rate)</w:t>
            </w:r>
          </w:p>
        </w:tc>
        <w:tc>
          <w:tcPr>
            <w:tcW w:type="dxa" w:w="720"/>
            <w:shd w:fill="FFFFFF"/>
            <w:tcMar>
              <w:top w:w="80" w:type="dxa"/>
              <w:bottom w:w="80" w:type="dxa"/>
              <w:left w:w="120" w:type="dxa"/>
              <w:right w:w="120" w:type="dxa"/>
            </w:tcMar>
          </w:tcPr>
          <w:p>
            <w:pPr>
              <w:jc w:val="right"/>
            </w:pPr>
            <w:r>
              <w:rPr>
                <w:rFonts w:ascii="Calibri" w:hAnsi="Calibri"/>
                <w:color w:val="2B2D42"/>
                <w:sz w:val="18"/>
              </w:rPr>
              <w:t>0.00</w:t>
            </w:r>
          </w:p>
        </w:tc>
        <w:tc>
          <w:tcPr>
            <w:tcW w:type="dxa" w:w="720"/>
            <w:shd w:fill="FFFFFF"/>
            <w:tcMar>
              <w:top w:w="80" w:type="dxa"/>
              <w:bottom w:w="80" w:type="dxa"/>
              <w:left w:w="120" w:type="dxa"/>
              <w:right w:w="120" w:type="dxa"/>
            </w:tcMar>
          </w:tcPr>
          <w:p>
            <w:pPr>
              <w:jc w:val="right"/>
            </w:pPr>
            <w:r>
              <w:rPr>
                <w:rFonts w:ascii="Calibri" w:hAnsi="Calibri"/>
                <w:color w:val="2B2D42"/>
                <w:sz w:val="18"/>
              </w:rPr>
              <w:t>0.20</w:t>
            </w:r>
          </w:p>
        </w:tc>
        <w:tc>
          <w:tcPr>
            <w:tcW w:type="dxa" w:w="720"/>
            <w:shd w:fill="FFFFFF"/>
            <w:tcMar>
              <w:top w:w="80" w:type="dxa"/>
              <w:bottom w:w="80" w:type="dxa"/>
              <w:left w:w="120" w:type="dxa"/>
              <w:right w:w="120" w:type="dxa"/>
            </w:tcMar>
          </w:tcPr>
          <w:p>
            <w:pPr>
              <w:jc w:val="right"/>
            </w:pPr>
            <w:r>
              <w:rPr>
                <w:rFonts w:ascii="Calibri" w:hAnsi="Calibri"/>
                <w:color w:val="2B2D42"/>
                <w:sz w:val="18"/>
              </w:rPr>
              <w:t>0.20</w:t>
            </w:r>
          </w:p>
        </w:tc>
        <w:tc>
          <w:tcPr>
            <w:tcW w:type="dxa" w:w="720"/>
            <w:shd w:fill="FFFFFF"/>
            <w:tcMar>
              <w:top w:w="80" w:type="dxa"/>
              <w:bottom w:w="80" w:type="dxa"/>
              <w:left w:w="120" w:type="dxa"/>
              <w:right w:w="120" w:type="dxa"/>
            </w:tcMar>
          </w:tcPr>
          <w:p>
            <w:pPr>
              <w:jc w:val="right"/>
            </w:pPr>
            <w:r>
              <w:rPr>
                <w:rFonts w:ascii="Calibri" w:hAnsi="Calibri"/>
                <w:color w:val="2B2D42"/>
                <w:sz w:val="18"/>
              </w:rPr>
              <w:t>0.20</w:t>
            </w:r>
          </w:p>
        </w:tc>
        <w:tc>
          <w:tcPr>
            <w:tcW w:type="dxa" w:w="864"/>
            <w:shd w:fill="FFFFFF"/>
            <w:tcMar>
              <w:top w:w="80" w:type="dxa"/>
              <w:bottom w:w="80" w:type="dxa"/>
              <w:left w:w="120" w:type="dxa"/>
              <w:right w:w="120" w:type="dxa"/>
            </w:tcMar>
          </w:tcPr>
          <w:p>
            <w:pPr>
              <w:jc w:val="right"/>
            </w:pPr>
            <w:r>
              <w:rPr>
                <w:rFonts w:ascii="Calibri" w:hAnsi="Calibri"/>
                <w:color w:val="2B2D42"/>
                <w:sz w:val="18"/>
              </w:rPr>
              <w:t>-0.30</w:t>
            </w:r>
          </w:p>
        </w:tc>
        <w:tc>
          <w:tcPr>
            <w:tcW w:type="dxa" w:w="864"/>
            <w:shd w:fill="FFFFFF"/>
            <w:tcMar>
              <w:top w:w="80" w:type="dxa"/>
              <w:bottom w:w="80" w:type="dxa"/>
              <w:left w:w="120" w:type="dxa"/>
              <w:right w:w="120" w:type="dxa"/>
            </w:tcMar>
          </w:tcPr>
          <w:p>
            <w:pPr>
              <w:jc w:val="right"/>
            </w:pPr>
            <w:r>
              <w:rPr>
                <w:rFonts w:ascii="Calibri" w:hAnsi="Calibri"/>
                <w:color w:val="2B2D42"/>
                <w:sz w:val="18"/>
              </w:rPr>
              <w:t>0.50</w:t>
            </w:r>
          </w:p>
        </w:tc>
        <w:tc>
          <w:tcPr>
            <w:tcW w:type="dxa" w:w="1440"/>
            <w:shd w:fill="FFFFFF"/>
            <w:tcMar>
              <w:top w:w="80" w:type="dxa"/>
              <w:bottom w:w="80" w:type="dxa"/>
              <w:left w:w="120" w:type="dxa"/>
              <w:right w:w="120" w:type="dxa"/>
            </w:tcMar>
          </w:tcPr>
          <w:p>
            <w:pPr>
              <w:jc w:val="right"/>
            </w:pPr>
            <w:r>
              <w:rPr>
                <w:rFonts w:ascii="Calibri" w:hAnsi="Calibri"/>
                <w:color w:val="2B2D42"/>
                <w:sz w:val="18"/>
              </w:rPr>
              <w:t>856 (8.57%)</w:t>
            </w:r>
          </w:p>
        </w:tc>
        <w:tc>
          <w:tcPr>
            <w:tcW w:type="dxa" w:w="864"/>
            <w:shd w:fill="FFFFFF"/>
            <w:tcMar>
              <w:top w:w="80" w:type="dxa"/>
              <w:bottom w:w="80" w:type="dxa"/>
              <w:left w:w="120" w:type="dxa"/>
              <w:right w:w="120" w:type="dxa"/>
            </w:tcMar>
          </w:tcPr>
          <w:p>
            <w:pPr>
              <w:jc w:val="right"/>
            </w:pPr>
            <w:r>
              <w:rPr>
                <w:rFonts w:ascii="Calibri" w:hAnsi="Calibri"/>
                <w:color w:val="2B2D42"/>
                <w:sz w:val="18"/>
              </w:rPr>
              <w:t>0.00 (0%)</w:t>
            </w:r>
          </w:p>
        </w:tc>
        <w:tc>
          <w:tcPr>
            <w:tcW w:type="dxa" w:w="864"/>
            <w:shd w:fill="FFFFFF"/>
            <w:tcMar>
              <w:top w:w="80" w:type="dxa"/>
              <w:bottom w:w="80" w:type="dxa"/>
              <w:left w:w="120" w:type="dxa"/>
              <w:right w:w="120" w:type="dxa"/>
            </w:tcMar>
          </w:tcPr>
          <w:p>
            <w:pPr>
              <w:jc w:val="right"/>
            </w:pPr>
            <w:r>
              <w:rPr>
                <w:rFonts w:ascii="Calibri" w:hAnsi="Calibri"/>
                <w:color w:val="2B2D42"/>
                <w:sz w:val="18"/>
              </w:rPr>
              <w:t>0.80 (80%)</w:t>
            </w:r>
          </w:p>
        </w:tc>
      </w:tr>
      <w:tr>
        <w:tc>
          <w:tcPr>
            <w:tcW w:type="dxa" w:w="1584"/>
            <w:shd w:fill="F8F9FA"/>
            <w:tcMar>
              <w:top w:w="80" w:type="dxa"/>
              <w:bottom w:w="80" w:type="dxa"/>
              <w:left w:w="120" w:type="dxa"/>
              <w:right w:w="120" w:type="dxa"/>
            </w:tcMar>
          </w:tcPr>
          <w:p>
            <w:pPr>
              <w:jc w:val="left"/>
            </w:pPr>
            <w:r>
              <w:rPr>
                <w:rFonts w:ascii="Calibri" w:hAnsi="Calibri"/>
                <w:color w:val="2B2D42"/>
                <w:sz w:val="18"/>
              </w:rPr>
              <w:t>Quantity (Units)</w:t>
            </w:r>
          </w:p>
        </w:tc>
        <w:tc>
          <w:tcPr>
            <w:tcW w:type="dxa" w:w="720"/>
            <w:shd w:fill="F8F9FA"/>
            <w:tcMar>
              <w:top w:w="80" w:type="dxa"/>
              <w:bottom w:w="80" w:type="dxa"/>
              <w:left w:w="120" w:type="dxa"/>
              <w:right w:w="120" w:type="dxa"/>
            </w:tcMar>
          </w:tcPr>
          <w:p>
            <w:pPr>
              <w:jc w:val="right"/>
            </w:pPr>
            <w:r>
              <w:rPr>
                <w:rFonts w:ascii="Calibri" w:hAnsi="Calibri"/>
                <w:color w:val="2B2D42"/>
                <w:sz w:val="18"/>
              </w:rPr>
              <w:t>2.00</w:t>
            </w:r>
          </w:p>
        </w:tc>
        <w:tc>
          <w:tcPr>
            <w:tcW w:type="dxa" w:w="720"/>
            <w:shd w:fill="F8F9FA"/>
            <w:tcMar>
              <w:top w:w="80" w:type="dxa"/>
              <w:bottom w:w="80" w:type="dxa"/>
              <w:left w:w="120" w:type="dxa"/>
              <w:right w:w="120" w:type="dxa"/>
            </w:tcMar>
          </w:tcPr>
          <w:p>
            <w:pPr>
              <w:jc w:val="right"/>
            </w:pPr>
            <w:r>
              <w:rPr>
                <w:rFonts w:ascii="Calibri" w:hAnsi="Calibri"/>
                <w:color w:val="2B2D42"/>
                <w:sz w:val="18"/>
              </w:rPr>
              <w:t>3.00</w:t>
            </w:r>
          </w:p>
        </w:tc>
        <w:tc>
          <w:tcPr>
            <w:tcW w:type="dxa" w:w="720"/>
            <w:shd w:fill="F8F9FA"/>
            <w:tcMar>
              <w:top w:w="80" w:type="dxa"/>
              <w:bottom w:w="80" w:type="dxa"/>
              <w:left w:w="120" w:type="dxa"/>
              <w:right w:w="120" w:type="dxa"/>
            </w:tcMar>
          </w:tcPr>
          <w:p>
            <w:pPr>
              <w:jc w:val="right"/>
            </w:pPr>
            <w:r>
              <w:rPr>
                <w:rFonts w:ascii="Calibri" w:hAnsi="Calibri"/>
                <w:color w:val="2B2D42"/>
                <w:sz w:val="18"/>
              </w:rPr>
              <w:t>5.00</w:t>
            </w:r>
          </w:p>
        </w:tc>
        <w:tc>
          <w:tcPr>
            <w:tcW w:type="dxa" w:w="720"/>
            <w:shd w:fill="F8F9FA"/>
            <w:tcMar>
              <w:top w:w="80" w:type="dxa"/>
              <w:bottom w:w="80" w:type="dxa"/>
              <w:left w:w="120" w:type="dxa"/>
              <w:right w:w="120" w:type="dxa"/>
            </w:tcMar>
          </w:tcPr>
          <w:p>
            <w:pPr>
              <w:jc w:val="right"/>
            </w:pPr>
            <w:r>
              <w:rPr>
                <w:rFonts w:ascii="Calibri" w:hAnsi="Calibri"/>
                <w:color w:val="2B2D42"/>
                <w:sz w:val="18"/>
              </w:rPr>
              <w:t>3.00</w:t>
            </w:r>
          </w:p>
        </w:tc>
        <w:tc>
          <w:tcPr>
            <w:tcW w:type="dxa" w:w="864"/>
            <w:shd w:fill="F8F9FA"/>
            <w:tcMar>
              <w:top w:w="80" w:type="dxa"/>
              <w:bottom w:w="80" w:type="dxa"/>
              <w:left w:w="120" w:type="dxa"/>
              <w:right w:w="120" w:type="dxa"/>
            </w:tcMar>
          </w:tcPr>
          <w:p>
            <w:pPr>
              <w:jc w:val="right"/>
            </w:pPr>
            <w:r>
              <w:rPr>
                <w:rFonts w:ascii="Calibri" w:hAnsi="Calibri"/>
                <w:color w:val="2B2D42"/>
                <w:sz w:val="18"/>
              </w:rPr>
              <w:t>-2.50</w:t>
            </w:r>
          </w:p>
        </w:tc>
        <w:tc>
          <w:tcPr>
            <w:tcW w:type="dxa" w:w="864"/>
            <w:shd w:fill="F8F9FA"/>
            <w:tcMar>
              <w:top w:w="80" w:type="dxa"/>
              <w:bottom w:w="80" w:type="dxa"/>
              <w:left w:w="120" w:type="dxa"/>
              <w:right w:w="120" w:type="dxa"/>
            </w:tcMar>
          </w:tcPr>
          <w:p>
            <w:pPr>
              <w:jc w:val="right"/>
            </w:pPr>
            <w:r>
              <w:rPr>
                <w:rFonts w:ascii="Calibri" w:hAnsi="Calibri"/>
                <w:color w:val="2B2D42"/>
                <w:sz w:val="18"/>
              </w:rPr>
              <w:t>9.50</w:t>
            </w:r>
          </w:p>
        </w:tc>
        <w:tc>
          <w:tcPr>
            <w:tcW w:type="dxa" w:w="1440"/>
            <w:shd w:fill="F8F9FA"/>
            <w:tcMar>
              <w:top w:w="80" w:type="dxa"/>
              <w:bottom w:w="80" w:type="dxa"/>
              <w:left w:w="120" w:type="dxa"/>
              <w:right w:w="120" w:type="dxa"/>
            </w:tcMar>
          </w:tcPr>
          <w:p>
            <w:pPr>
              <w:jc w:val="right"/>
            </w:pPr>
            <w:r>
              <w:rPr>
                <w:rFonts w:ascii="Calibri" w:hAnsi="Calibri"/>
                <w:color w:val="2B2D42"/>
                <w:sz w:val="18"/>
              </w:rPr>
              <w:t>170 (1.70%)</w:t>
            </w:r>
          </w:p>
        </w:tc>
        <w:tc>
          <w:tcPr>
            <w:tcW w:type="dxa" w:w="864"/>
            <w:shd w:fill="F8F9FA"/>
            <w:tcMar>
              <w:top w:w="80" w:type="dxa"/>
              <w:bottom w:w="80" w:type="dxa"/>
              <w:left w:w="120" w:type="dxa"/>
              <w:right w:w="120" w:type="dxa"/>
            </w:tcMar>
          </w:tcPr>
          <w:p>
            <w:pPr>
              <w:jc w:val="right"/>
            </w:pPr>
            <w:r>
              <w:rPr>
                <w:rFonts w:ascii="Calibri" w:hAnsi="Calibri"/>
                <w:color w:val="2B2D42"/>
                <w:sz w:val="18"/>
              </w:rPr>
              <w:t>1 unit</w:t>
            </w:r>
          </w:p>
        </w:tc>
        <w:tc>
          <w:tcPr>
            <w:tcW w:type="dxa" w:w="864"/>
            <w:shd w:fill="F8F9FA"/>
            <w:tcMar>
              <w:top w:w="80" w:type="dxa"/>
              <w:bottom w:w="80" w:type="dxa"/>
              <w:left w:w="120" w:type="dxa"/>
              <w:right w:w="120" w:type="dxa"/>
            </w:tcMar>
          </w:tcPr>
          <w:p>
            <w:pPr>
              <w:jc w:val="right"/>
            </w:pPr>
            <w:r>
              <w:rPr>
                <w:rFonts w:ascii="Calibri" w:hAnsi="Calibri"/>
                <w:color w:val="2B2D42"/>
                <w:sz w:val="18"/>
              </w:rPr>
              <w:t>14 units</w:t>
            </w:r>
          </w:p>
        </w:tc>
      </w:tr>
    </w:tbl>
    <w:p>
      <w:pPr>
        <w:spacing w:after="80"/>
      </w:pPr>
    </w:p>
    <w:p>
      <w:pPr>
        <w:keepNext/>
        <w:spacing w:before="240" w:after="80"/>
      </w:pPr>
      <w:r>
        <w:rPr>
          <w:rFonts w:ascii="Calibri" w:hAnsi="Calibri"/>
          <w:b/>
          <w:color w:val="457B9D"/>
          <w:sz w:val="27"/>
        </w:rPr>
        <w:t>20.2 Forensic Record Audit: Distinguishing Data Errors from Commercial Reality</w:t>
      </w:r>
    </w:p>
    <w:p>
      <w:pPr>
        <w:spacing w:after="80" w:line="276" w:lineRule="auto"/>
      </w:pPr>
      <w:r>
        <w:rPr>
          <w:rFonts w:ascii="Calibri" w:hAnsi="Calibri"/>
          <w:color w:val="2B2D42"/>
          <w:sz w:val="22"/>
        </w:rPr>
        <w:t>A critical responsibility in professional data analysis is determining whether statistical outliers reflect corrupted data entries or genuine commercial events. Each of the top five positive and negative extreme transactions was forensically audited against original records:</w:t>
      </w:r>
    </w:p>
    <w:p>
      <w:pPr>
        <w:pStyle w:val="ListBullet"/>
        <w:spacing w:after="60" w:line="276" w:lineRule="auto"/>
      </w:pPr>
      <w:r>
        <w:rPr>
          <w:rFonts w:ascii="Calibri" w:hAnsi="Calibri"/>
          <w:b/>
          <w:color w:val="1D3557"/>
          <w:sz w:val="22"/>
        </w:rPr>
        <w:t xml:space="preserve">Maximum Gross Sales Record: </w:t>
      </w:r>
      <w:r>
        <w:rPr>
          <w:rFonts w:ascii="Calibri" w:hAnsi="Calibri"/>
          <w:color w:val="2B2D42"/>
          <w:sz w:val="22"/>
        </w:rPr>
        <w:t>Row ID 2698 (Max Sales): Cisco TelePresence System EX90 Videoconferencing Unit sold for $22,638.48 (Quantity: 6). A 50% discount resulted in an operating loss of -$1,811.08. Audit: Genuine high-end commercial hardware procurement.</w:t>
      </w:r>
    </w:p>
    <w:p>
      <w:pPr>
        <w:pStyle w:val="ListBullet"/>
        <w:spacing w:after="60" w:line="276" w:lineRule="auto"/>
      </w:pPr>
      <w:r>
        <w:rPr>
          <w:rFonts w:ascii="Calibri" w:hAnsi="Calibri"/>
          <w:b/>
          <w:color w:val="1D3557"/>
          <w:sz w:val="22"/>
        </w:rPr>
        <w:t xml:space="preserve">Maximum Net Profit Record: </w:t>
      </w:r>
      <w:r>
        <w:rPr>
          <w:rFonts w:ascii="Calibri" w:hAnsi="Calibri"/>
          <w:color w:val="2B2D42"/>
          <w:sz w:val="22"/>
        </w:rPr>
        <w:t>Row ID 6827 (Max Profit): Canon imageCLASS 2200 Advanced Copier sold for $17,499.95 (Quantity: 5) at 0% discount, yielding $8,399.98 in net profit (48.0% margin). Audit: Genuine enterprise office equipment sale at list price.</w:t>
      </w:r>
    </w:p>
    <w:p>
      <w:pPr>
        <w:pStyle w:val="ListBullet"/>
        <w:spacing w:after="60" w:line="276" w:lineRule="auto"/>
      </w:pPr>
      <w:r>
        <w:rPr>
          <w:rFonts w:ascii="Calibri" w:hAnsi="Calibri"/>
          <w:b/>
          <w:color w:val="1D3557"/>
          <w:sz w:val="22"/>
        </w:rPr>
        <w:t xml:space="preserve">Deepest Commercial Loss Record: </w:t>
      </w:r>
      <w:r>
        <w:rPr>
          <w:rFonts w:ascii="Calibri" w:hAnsi="Calibri"/>
          <w:color w:val="2B2D42"/>
          <w:sz w:val="22"/>
        </w:rPr>
        <w:t>Row ID 7773 (Deepest Loss): Cubify CubeX 3D Printer Double Head Print sold for $4,499.98 (Quantity: 5) with an aggressive 70% promotional discount, resulting in a staggering commercial loss of -$6,599.98 (-146.7% margin). Audit: Legitimate retail transaction in Concord, North Carolina.</w:t>
      </w:r>
    </w:p>
    <w:p>
      <w:pPr>
        <w:pStyle w:val="ListBullet"/>
        <w:spacing w:after="60" w:line="276" w:lineRule="auto"/>
      </w:pPr>
      <w:r>
        <w:rPr>
          <w:rFonts w:ascii="Calibri" w:hAnsi="Calibri"/>
          <w:b/>
          <w:color w:val="1D3557"/>
          <w:sz w:val="22"/>
        </w:rPr>
        <w:t xml:space="preserve">High-Discount Binders: </w:t>
      </w:r>
      <w:r>
        <w:rPr>
          <w:rFonts w:ascii="Calibri" w:hAnsi="Calibri"/>
          <w:color w:val="2B2D42"/>
          <w:sz w:val="22"/>
        </w:rPr>
        <w:t>Row ID 9775 &amp; 4992 (Deep Binder Losses): GBC DocuBind P400 and Ibico EPK-21 binding machines sold in Illinois and Texas with 80% promotional discounts, generating losses of -$3,701.89 and -$2,929.48. Audit: Legitimate catalog clearance sales.</w:t>
      </w:r>
    </w:p>
    <w:tbl>
      <w:tblPr>
        <w:tblW w:type="auto" w:w="0"/>
        <w:jc w:val="center"/>
        <w:tblLook w:firstColumn="1" w:firstRow="1" w:lastColumn="0" w:lastRow="0" w:noHBand="0" w:noVBand="1" w:val="04A0"/>
      </w:tblPr>
      <w:tblGrid>
        <w:gridCol w:w="9360"/>
      </w:tblGrid>
      <w:tr>
        <w:tc>
          <w:tcPr>
            <w:tcW w:type="dxa" w:w="9360"/>
            <w:shd w:fill="EBF2FA"/>
            <w:tcMar>
              <w:top w:w="120" w:type="dxa"/>
              <w:bottom w:w="120" w:type="dxa"/>
              <w:left w:w="180" w:type="dxa"/>
              <w:right w:w="180" w:type="dxa"/>
            </w:tcMar>
            <w:tcBorders>
              <w:top w:val="none"/>
              <w:left w:val="single" w:sz="36" w:color="1D3557"/>
              <w:bottom w:val="none"/>
              <w:right w:val="none"/>
            </w:tcBorders>
          </w:tcPr>
          <w:p>
            <w:pPr>
              <w:spacing w:after="40"/>
            </w:pPr>
            <w:r>
              <w:rPr>
                <w:rFonts w:ascii="Calibri" w:hAnsi="Calibri"/>
                <w:b/>
                <w:color w:val="1D3557"/>
                <w:sz w:val="20"/>
              </w:rPr>
              <w:t xml:space="preserve">[OUTLIER INTEGRITY CONCLUSION] </w:t>
            </w:r>
            <w:r>
              <w:rPr>
                <w:rFonts w:ascii="Calibri" w:hAnsi="Calibri"/>
                <w:i/>
                <w:color w:val="2B2D42"/>
                <w:sz w:val="20"/>
              </w:rPr>
              <w:t>Forensic Quality Conclusion: Exactly zero outliers represent data entry errors, decimal displacements, or measurement corruption. Every single extreme observation reflects a legitimate, documented commercial transaction. Consequently, all outliers were retained in the analytical dataset. Deleting them would artificially inflate enterprise profit metrics and blind leadership to severe pricing vulnerabilities.</w:t>
            </w:r>
          </w:p>
        </w:tc>
      </w:tr>
    </w:tbl>
    <w:p>
      <w:pPr>
        <w:spacing w:after="40"/>
      </w:pPr>
    </w:p>
    <w:p>
      <w:r>
        <w:br w:type="page"/>
      </w:r>
    </w:p>
    <w:p>
      <w:pPr>
        <w:keepNext/>
        <w:spacing w:before="320" w:after="120"/>
      </w:pPr>
      <w:r>
        <w:rPr>
          <w:rFonts w:ascii="Calibri" w:hAnsi="Calibri"/>
          <w:b/>
          <w:color w:val="1D3557"/>
          <w:sz w:val="34"/>
        </w:rPr>
        <w:t>21. SUMMARY OF KEY EVIDENCE-BASED FINDINGS</w:t>
      </w:r>
    </w:p>
    <w:p>
      <w:pPr>
        <w:spacing w:after="80" w:line="276" w:lineRule="auto"/>
      </w:pPr>
      <w:r>
        <w:rPr>
          <w:rFonts w:ascii="Calibri" w:hAnsi="Calibri"/>
          <w:color w:val="2B2D42"/>
          <w:sz w:val="22"/>
        </w:rPr>
        <w:t>Table 4 presents twelve evidence-based findings derived strictly from empirical data analysis, structured by observation, evidence, and analytical interpretation.</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1728"/>
            <w:shd w:fill="1D3557"/>
            <w:tcMar>
              <w:top w:w="100" w:type="dxa"/>
              <w:bottom w:w="100" w:type="dxa"/>
              <w:left w:w="120" w:type="dxa"/>
              <w:right w:w="120" w:type="dxa"/>
            </w:tcMar>
          </w:tcPr>
          <w:p>
            <w:pPr>
              <w:jc w:val="left"/>
            </w:pPr>
            <w:r>
              <w:rPr>
                <w:rFonts w:ascii="Calibri" w:hAnsi="Calibri"/>
                <w:b/>
                <w:color w:val="FFFFFF"/>
                <w:sz w:val="19"/>
              </w:rPr>
              <w:t>Key Finding Title</w:t>
            </w:r>
          </w:p>
        </w:tc>
        <w:tc>
          <w:tcPr>
            <w:tcW w:type="dxa" w:w="720"/>
            <w:shd w:fill="1D3557"/>
            <w:tcMar>
              <w:top w:w="100" w:type="dxa"/>
              <w:bottom w:w="100" w:type="dxa"/>
              <w:left w:w="120" w:type="dxa"/>
              <w:right w:w="120" w:type="dxa"/>
            </w:tcMar>
          </w:tcPr>
          <w:p>
            <w:pPr>
              <w:jc w:val="right"/>
            </w:pPr>
            <w:r>
              <w:rPr>
                <w:rFonts w:ascii="Calibri" w:hAnsi="Calibri"/>
                <w:b/>
                <w:color w:val="FFFFFF"/>
                <w:sz w:val="19"/>
              </w:rPr>
              <w:t>Chart</w:t>
            </w:r>
          </w:p>
        </w:tc>
        <w:tc>
          <w:tcPr>
            <w:tcW w:type="dxa" w:w="3168"/>
            <w:shd w:fill="1D3557"/>
            <w:tcMar>
              <w:top w:w="100" w:type="dxa"/>
              <w:bottom w:w="100" w:type="dxa"/>
              <w:left w:w="120" w:type="dxa"/>
              <w:right w:w="120" w:type="dxa"/>
            </w:tcMar>
          </w:tcPr>
          <w:p>
            <w:pPr>
              <w:jc w:val="right"/>
            </w:pPr>
            <w:r>
              <w:rPr>
                <w:rFonts w:ascii="Calibri" w:hAnsi="Calibri"/>
                <w:b/>
                <w:color w:val="FFFFFF"/>
                <w:sz w:val="19"/>
              </w:rPr>
              <w:t>Empirical Data Evidence</w:t>
            </w:r>
          </w:p>
        </w:tc>
        <w:tc>
          <w:tcPr>
            <w:tcW w:type="dxa" w:w="3744"/>
            <w:shd w:fill="1D3557"/>
            <w:tcMar>
              <w:top w:w="100" w:type="dxa"/>
              <w:bottom w:w="100" w:type="dxa"/>
              <w:left w:w="120" w:type="dxa"/>
              <w:right w:w="120" w:type="dxa"/>
            </w:tcMar>
          </w:tcPr>
          <w:p>
            <w:pPr>
              <w:jc w:val="left"/>
            </w:pPr>
            <w:r>
              <w:rPr>
                <w:rFonts w:ascii="Calibri" w:hAnsi="Calibri"/>
                <w:b/>
                <w:color w:val="FFFFFF"/>
                <w:sz w:val="19"/>
              </w:rPr>
              <w:t>Commercial Analytical Interpretation</w:t>
            </w:r>
          </w:p>
        </w:tc>
      </w:tr>
      <w:tr>
        <w:tc>
          <w:tcPr>
            <w:tcW w:type="dxa" w:w="1728"/>
            <w:shd w:fill="FFFFFF"/>
            <w:tcMar>
              <w:top w:w="80" w:type="dxa"/>
              <w:bottom w:w="80" w:type="dxa"/>
              <w:left w:w="120" w:type="dxa"/>
              <w:right w:w="120" w:type="dxa"/>
            </w:tcMar>
          </w:tcPr>
          <w:p>
            <w:pPr>
              <w:jc w:val="left"/>
            </w:pPr>
            <w:r>
              <w:rPr>
                <w:rFonts w:ascii="Calibri" w:hAnsi="Calibri"/>
                <w:color w:val="2B2D42"/>
                <w:sz w:val="18"/>
              </w:rPr>
              <w:t>1. Top-Line Category Parity</w:t>
            </w:r>
          </w:p>
        </w:tc>
        <w:tc>
          <w:tcPr>
            <w:tcW w:type="dxa" w:w="720"/>
            <w:shd w:fill="FFFFFF"/>
            <w:tcMar>
              <w:top w:w="80" w:type="dxa"/>
              <w:bottom w:w="80" w:type="dxa"/>
              <w:left w:w="120" w:type="dxa"/>
              <w:right w:w="120" w:type="dxa"/>
            </w:tcMar>
          </w:tcPr>
          <w:p>
            <w:pPr>
              <w:jc w:val="right"/>
            </w:pPr>
            <w:r>
              <w:rPr>
                <w:rFonts w:ascii="Calibri" w:hAnsi="Calibri"/>
                <w:color w:val="2B2D42"/>
                <w:sz w:val="18"/>
              </w:rPr>
              <w:t>Vis 1</w:t>
            </w:r>
          </w:p>
        </w:tc>
        <w:tc>
          <w:tcPr>
            <w:tcW w:type="dxa" w:w="3168"/>
            <w:shd w:fill="FFFFFF"/>
            <w:tcMar>
              <w:top w:w="80" w:type="dxa"/>
              <w:bottom w:w="80" w:type="dxa"/>
              <w:left w:w="120" w:type="dxa"/>
              <w:right w:w="120" w:type="dxa"/>
            </w:tcMar>
          </w:tcPr>
          <w:p>
            <w:pPr>
              <w:jc w:val="right"/>
            </w:pPr>
            <w:r>
              <w:rPr>
                <w:rFonts w:ascii="Calibri" w:hAnsi="Calibri"/>
                <w:color w:val="2B2D42"/>
                <w:sz w:val="18"/>
              </w:rPr>
              <w:t>Tech: $836K (36.4%), Furn: $742K (32.3%), Off: $719K (31.3%).</w:t>
            </w:r>
          </w:p>
        </w:tc>
        <w:tc>
          <w:tcPr>
            <w:tcW w:type="dxa" w:w="3744"/>
            <w:shd w:fill="FFFFFF"/>
            <w:tcMar>
              <w:top w:w="80" w:type="dxa"/>
              <w:bottom w:w="80" w:type="dxa"/>
              <w:left w:w="120" w:type="dxa"/>
              <w:right w:w="120" w:type="dxa"/>
            </w:tcMar>
          </w:tcPr>
          <w:p>
            <w:pPr>
              <w:jc w:val="left"/>
            </w:pPr>
            <w:r>
              <w:rPr>
                <w:rFonts w:ascii="Calibri" w:hAnsi="Calibri"/>
                <w:color w:val="2B2D42"/>
                <w:sz w:val="18"/>
              </w:rPr>
              <w:t>Customer demand is balanced; no single department monopolizes gross revenue.</w:t>
            </w:r>
          </w:p>
        </w:tc>
      </w:tr>
      <w:tr>
        <w:tc>
          <w:tcPr>
            <w:tcW w:type="dxa" w:w="1728"/>
            <w:shd w:fill="F8F9FA"/>
            <w:tcMar>
              <w:top w:w="80" w:type="dxa"/>
              <w:bottom w:w="80" w:type="dxa"/>
              <w:left w:w="120" w:type="dxa"/>
              <w:right w:w="120" w:type="dxa"/>
            </w:tcMar>
          </w:tcPr>
          <w:p>
            <w:pPr>
              <w:jc w:val="left"/>
            </w:pPr>
            <w:r>
              <w:rPr>
                <w:rFonts w:ascii="Calibri" w:hAnsi="Calibri"/>
                <w:color w:val="2B2D42"/>
                <w:sz w:val="18"/>
              </w:rPr>
              <w:t>2. The Furniture Deficit</w:t>
            </w:r>
          </w:p>
        </w:tc>
        <w:tc>
          <w:tcPr>
            <w:tcW w:type="dxa" w:w="720"/>
            <w:shd w:fill="F8F9FA"/>
            <w:tcMar>
              <w:top w:w="80" w:type="dxa"/>
              <w:bottom w:w="80" w:type="dxa"/>
              <w:left w:w="120" w:type="dxa"/>
              <w:right w:w="120" w:type="dxa"/>
            </w:tcMar>
          </w:tcPr>
          <w:p>
            <w:pPr>
              <w:jc w:val="right"/>
            </w:pPr>
            <w:r>
              <w:rPr>
                <w:rFonts w:ascii="Calibri" w:hAnsi="Calibri"/>
                <w:color w:val="2B2D42"/>
                <w:sz w:val="18"/>
              </w:rPr>
              <w:t>Vis 2</w:t>
            </w:r>
          </w:p>
        </w:tc>
        <w:tc>
          <w:tcPr>
            <w:tcW w:type="dxa" w:w="3168"/>
            <w:shd w:fill="F8F9FA"/>
            <w:tcMar>
              <w:top w:w="80" w:type="dxa"/>
              <w:bottom w:w="80" w:type="dxa"/>
              <w:left w:w="120" w:type="dxa"/>
              <w:right w:w="120" w:type="dxa"/>
            </w:tcMar>
          </w:tcPr>
          <w:p>
            <w:pPr>
              <w:jc w:val="right"/>
            </w:pPr>
            <w:r>
              <w:rPr>
                <w:rFonts w:ascii="Calibri" w:hAnsi="Calibri"/>
                <w:color w:val="2B2D42"/>
                <w:sz w:val="18"/>
              </w:rPr>
              <w:t>Furniture captures 32.3% of sales but delivers only $18.5K (6.4%) profit.</w:t>
            </w:r>
          </w:p>
        </w:tc>
        <w:tc>
          <w:tcPr>
            <w:tcW w:type="dxa" w:w="3744"/>
            <w:shd w:fill="F8F9FA"/>
            <w:tcMar>
              <w:top w:w="80" w:type="dxa"/>
              <w:bottom w:w="80" w:type="dxa"/>
              <w:left w:w="120" w:type="dxa"/>
              <w:right w:w="120" w:type="dxa"/>
            </w:tcMar>
          </w:tcPr>
          <w:p>
            <w:pPr>
              <w:jc w:val="right"/>
            </w:pPr>
            <w:r>
              <w:rPr>
                <w:rFonts w:ascii="Calibri" w:hAnsi="Calibri"/>
                <w:color w:val="2B2D42"/>
                <w:sz w:val="18"/>
              </w:rPr>
              <w:t>Furniture operates at a severe 2.5% margin, dragging down overall corporate return.</w:t>
            </w:r>
          </w:p>
        </w:tc>
      </w:tr>
      <w:tr>
        <w:tc>
          <w:tcPr>
            <w:tcW w:type="dxa" w:w="1728"/>
            <w:shd w:fill="FFFFFF"/>
            <w:tcMar>
              <w:top w:w="80" w:type="dxa"/>
              <w:bottom w:w="80" w:type="dxa"/>
              <w:left w:w="120" w:type="dxa"/>
              <w:right w:w="120" w:type="dxa"/>
            </w:tcMar>
          </w:tcPr>
          <w:p>
            <w:pPr>
              <w:jc w:val="left"/>
            </w:pPr>
            <w:r>
              <w:rPr>
                <w:rFonts w:ascii="Calibri" w:hAnsi="Calibri"/>
                <w:color w:val="2B2D42"/>
                <w:sz w:val="18"/>
              </w:rPr>
              <w:t>3. Right-Skewed Sales</w:t>
            </w:r>
          </w:p>
        </w:tc>
        <w:tc>
          <w:tcPr>
            <w:tcW w:type="dxa" w:w="720"/>
            <w:shd w:fill="FFFFFF"/>
            <w:tcMar>
              <w:top w:w="80" w:type="dxa"/>
              <w:bottom w:w="80" w:type="dxa"/>
              <w:left w:w="120" w:type="dxa"/>
              <w:right w:w="120" w:type="dxa"/>
            </w:tcMar>
          </w:tcPr>
          <w:p>
            <w:pPr>
              <w:jc w:val="right"/>
            </w:pPr>
            <w:r>
              <w:rPr>
                <w:rFonts w:ascii="Calibri" w:hAnsi="Calibri"/>
                <w:color w:val="2B2D42"/>
                <w:sz w:val="18"/>
              </w:rPr>
              <w:t>Vis 3</w:t>
            </w:r>
          </w:p>
        </w:tc>
        <w:tc>
          <w:tcPr>
            <w:tcW w:type="dxa" w:w="3168"/>
            <w:shd w:fill="FFFFFF"/>
            <w:tcMar>
              <w:top w:w="80" w:type="dxa"/>
              <w:bottom w:w="80" w:type="dxa"/>
              <w:left w:w="120" w:type="dxa"/>
              <w:right w:w="120" w:type="dxa"/>
            </w:tcMar>
          </w:tcPr>
          <w:p>
            <w:pPr>
              <w:jc w:val="right"/>
            </w:pPr>
            <w:r>
              <w:rPr>
                <w:rFonts w:ascii="Calibri" w:hAnsi="Calibri"/>
                <w:color w:val="2B2D42"/>
                <w:sz w:val="18"/>
              </w:rPr>
              <w:t>Sales Mean is $229.86, Median is $54.49, 75% of orders are under $210.</w:t>
            </w:r>
          </w:p>
        </w:tc>
        <w:tc>
          <w:tcPr>
            <w:tcW w:type="dxa" w:w="3744"/>
            <w:shd w:fill="FFFFFF"/>
            <w:tcMar>
              <w:top w:w="80" w:type="dxa"/>
              <w:bottom w:w="80" w:type="dxa"/>
              <w:left w:w="120" w:type="dxa"/>
              <w:right w:w="120" w:type="dxa"/>
            </w:tcMar>
          </w:tcPr>
          <w:p>
            <w:pPr>
              <w:jc w:val="left"/>
            </w:pPr>
            <w:r>
              <w:rPr>
                <w:rFonts w:ascii="Calibri" w:hAnsi="Calibri"/>
                <w:color w:val="2B2D42"/>
                <w:sz w:val="18"/>
              </w:rPr>
              <w:t>A high-volume transactional base is accompanied by an elite commercial tail.</w:t>
            </w:r>
          </w:p>
        </w:tc>
      </w:tr>
      <w:tr>
        <w:tc>
          <w:tcPr>
            <w:tcW w:type="dxa" w:w="1728"/>
            <w:shd w:fill="F8F9FA"/>
            <w:tcMar>
              <w:top w:w="80" w:type="dxa"/>
              <w:bottom w:w="80" w:type="dxa"/>
              <w:left w:w="120" w:type="dxa"/>
              <w:right w:w="120" w:type="dxa"/>
            </w:tcMar>
          </w:tcPr>
          <w:p>
            <w:pPr>
              <w:jc w:val="left"/>
            </w:pPr>
            <w:r>
              <w:rPr>
                <w:rFonts w:ascii="Calibri" w:hAnsi="Calibri"/>
                <w:color w:val="2B2D42"/>
                <w:sz w:val="18"/>
              </w:rPr>
              <w:t>4. Loss-Making Line Items</w:t>
            </w:r>
          </w:p>
        </w:tc>
        <w:tc>
          <w:tcPr>
            <w:tcW w:type="dxa" w:w="720"/>
            <w:shd w:fill="F8F9FA"/>
            <w:tcMar>
              <w:top w:w="80" w:type="dxa"/>
              <w:bottom w:w="80" w:type="dxa"/>
              <w:left w:w="120" w:type="dxa"/>
              <w:right w:w="120" w:type="dxa"/>
            </w:tcMar>
          </w:tcPr>
          <w:p>
            <w:pPr>
              <w:jc w:val="right"/>
            </w:pPr>
            <w:r>
              <w:rPr>
                <w:rFonts w:ascii="Calibri" w:hAnsi="Calibri"/>
                <w:color w:val="2B2D42"/>
                <w:sz w:val="18"/>
              </w:rPr>
              <w:t>Vis 4</w:t>
            </w:r>
          </w:p>
        </w:tc>
        <w:tc>
          <w:tcPr>
            <w:tcW w:type="dxa" w:w="3168"/>
            <w:shd w:fill="F8F9FA"/>
            <w:tcMar>
              <w:top w:w="80" w:type="dxa"/>
              <w:bottom w:w="80" w:type="dxa"/>
              <w:left w:w="120" w:type="dxa"/>
              <w:right w:w="120" w:type="dxa"/>
            </w:tcMar>
          </w:tcPr>
          <w:p>
            <w:pPr>
              <w:jc w:val="right"/>
            </w:pPr>
            <w:r>
              <w:rPr>
                <w:rFonts w:ascii="Calibri" w:hAnsi="Calibri"/>
                <w:color w:val="2B2D42"/>
                <w:sz w:val="18"/>
              </w:rPr>
              <w:t>1,871 transactions (18.7%) operate at negative profit down to -$6.6K.</w:t>
            </w:r>
          </w:p>
        </w:tc>
        <w:tc>
          <w:tcPr>
            <w:tcW w:type="dxa" w:w="3744"/>
            <w:shd w:fill="F8F9FA"/>
            <w:tcMar>
              <w:top w:w="80" w:type="dxa"/>
              <w:bottom w:w="80" w:type="dxa"/>
              <w:left w:w="120" w:type="dxa"/>
              <w:right w:w="120" w:type="dxa"/>
            </w:tcMar>
          </w:tcPr>
          <w:p>
            <w:pPr>
              <w:jc w:val="right"/>
            </w:pPr>
            <w:r>
              <w:rPr>
                <w:rFonts w:ascii="Calibri" w:hAnsi="Calibri"/>
                <w:color w:val="2B2D42"/>
                <w:sz w:val="18"/>
              </w:rPr>
              <w:t>Nearly 1 in 5 transactions destroys capital, severely depressing aggregate margin.</w:t>
            </w:r>
          </w:p>
        </w:tc>
      </w:tr>
      <w:tr>
        <w:tc>
          <w:tcPr>
            <w:tcW w:type="dxa" w:w="1728"/>
            <w:shd w:fill="FFFFFF"/>
            <w:tcMar>
              <w:top w:w="80" w:type="dxa"/>
              <w:bottom w:w="80" w:type="dxa"/>
              <w:left w:w="120" w:type="dxa"/>
              <w:right w:w="120" w:type="dxa"/>
            </w:tcMar>
          </w:tcPr>
          <w:p>
            <w:pPr>
              <w:jc w:val="left"/>
            </w:pPr>
            <w:r>
              <w:rPr>
                <w:rFonts w:ascii="Calibri" w:hAnsi="Calibri"/>
                <w:color w:val="2B2D42"/>
                <w:sz w:val="18"/>
              </w:rPr>
              <w:t>5. Multi-Year Growth</w:t>
            </w:r>
          </w:p>
        </w:tc>
        <w:tc>
          <w:tcPr>
            <w:tcW w:type="dxa" w:w="720"/>
            <w:shd w:fill="FFFFFF"/>
            <w:tcMar>
              <w:top w:w="80" w:type="dxa"/>
              <w:bottom w:w="80" w:type="dxa"/>
              <w:left w:w="120" w:type="dxa"/>
              <w:right w:w="120" w:type="dxa"/>
            </w:tcMar>
          </w:tcPr>
          <w:p>
            <w:pPr>
              <w:jc w:val="right"/>
            </w:pPr>
            <w:r>
              <w:rPr>
                <w:rFonts w:ascii="Calibri" w:hAnsi="Calibri"/>
                <w:color w:val="2B2D42"/>
                <w:sz w:val="18"/>
              </w:rPr>
              <w:t>Vis 5</w:t>
            </w:r>
          </w:p>
        </w:tc>
        <w:tc>
          <w:tcPr>
            <w:tcW w:type="dxa" w:w="3168"/>
            <w:shd w:fill="FFFFFF"/>
            <w:tcMar>
              <w:top w:w="80" w:type="dxa"/>
              <w:bottom w:w="80" w:type="dxa"/>
              <w:left w:w="120" w:type="dxa"/>
              <w:right w:w="120" w:type="dxa"/>
            </w:tcMar>
          </w:tcPr>
          <w:p>
            <w:pPr>
              <w:jc w:val="right"/>
            </w:pPr>
            <w:r>
              <w:rPr>
                <w:rFonts w:ascii="Calibri" w:hAnsi="Calibri"/>
                <w:color w:val="2B2D42"/>
                <w:sz w:val="18"/>
              </w:rPr>
              <w:t>Annual sales grew 51.6% from $484K (2011) to $734K (2014).</w:t>
            </w:r>
          </w:p>
        </w:tc>
        <w:tc>
          <w:tcPr>
            <w:tcW w:type="dxa" w:w="3744"/>
            <w:shd w:fill="FFFFFF"/>
            <w:tcMar>
              <w:top w:w="80" w:type="dxa"/>
              <w:bottom w:w="80" w:type="dxa"/>
              <w:left w:w="120" w:type="dxa"/>
              <w:right w:w="120" w:type="dxa"/>
            </w:tcMar>
          </w:tcPr>
          <w:p>
            <w:pPr>
              <w:jc w:val="left"/>
            </w:pPr>
            <w:r>
              <w:rPr>
                <w:rFonts w:ascii="Calibri" w:hAnsi="Calibri"/>
                <w:color w:val="2B2D42"/>
                <w:sz w:val="18"/>
              </w:rPr>
              <w:t>The business exhibits robust market expansion across all commercial sectors.</w:t>
            </w:r>
          </w:p>
        </w:tc>
      </w:tr>
      <w:tr>
        <w:tc>
          <w:tcPr>
            <w:tcW w:type="dxa" w:w="1728"/>
            <w:shd w:fill="F8F9FA"/>
            <w:tcMar>
              <w:top w:w="80" w:type="dxa"/>
              <w:bottom w:w="80" w:type="dxa"/>
              <w:left w:w="120" w:type="dxa"/>
              <w:right w:w="120" w:type="dxa"/>
            </w:tcMar>
          </w:tcPr>
          <w:p>
            <w:pPr>
              <w:jc w:val="left"/>
            </w:pPr>
            <w:r>
              <w:rPr>
                <w:rFonts w:ascii="Calibri" w:hAnsi="Calibri"/>
                <w:color w:val="2B2D42"/>
                <w:sz w:val="18"/>
              </w:rPr>
              <w:t>6. Q4 Revenue Surges</w:t>
            </w:r>
          </w:p>
        </w:tc>
        <w:tc>
          <w:tcPr>
            <w:tcW w:type="dxa" w:w="720"/>
            <w:shd w:fill="F8F9FA"/>
            <w:tcMar>
              <w:top w:w="80" w:type="dxa"/>
              <w:bottom w:w="80" w:type="dxa"/>
              <w:left w:w="120" w:type="dxa"/>
              <w:right w:w="120" w:type="dxa"/>
            </w:tcMar>
          </w:tcPr>
          <w:p>
            <w:pPr>
              <w:jc w:val="right"/>
            </w:pPr>
            <w:r>
              <w:rPr>
                <w:rFonts w:ascii="Calibri" w:hAnsi="Calibri"/>
                <w:color w:val="2B2D42"/>
                <w:sz w:val="18"/>
              </w:rPr>
              <w:t>Vis 5</w:t>
            </w:r>
          </w:p>
        </w:tc>
        <w:tc>
          <w:tcPr>
            <w:tcW w:type="dxa" w:w="3168"/>
            <w:shd w:fill="F8F9FA"/>
            <w:tcMar>
              <w:top w:w="80" w:type="dxa"/>
              <w:bottom w:w="80" w:type="dxa"/>
              <w:left w:w="120" w:type="dxa"/>
              <w:right w:w="120" w:type="dxa"/>
            </w:tcMar>
          </w:tcPr>
          <w:p>
            <w:pPr>
              <w:jc w:val="right"/>
            </w:pPr>
            <w:r>
              <w:rPr>
                <w:rFonts w:ascii="Calibri" w:hAnsi="Calibri"/>
                <w:color w:val="2B2D42"/>
                <w:sz w:val="18"/>
              </w:rPr>
              <w:t>November 2014 achieved an all-time peak of $118.4K in revenue.</w:t>
            </w:r>
          </w:p>
        </w:tc>
        <w:tc>
          <w:tcPr>
            <w:tcW w:type="dxa" w:w="3744"/>
            <w:shd w:fill="F8F9FA"/>
            <w:tcMar>
              <w:top w:w="80" w:type="dxa"/>
              <w:bottom w:w="80" w:type="dxa"/>
              <w:left w:w="120" w:type="dxa"/>
              <w:right w:w="120" w:type="dxa"/>
            </w:tcMar>
          </w:tcPr>
          <w:p>
            <w:pPr>
              <w:jc w:val="right"/>
            </w:pPr>
            <w:r>
              <w:rPr>
                <w:rFonts w:ascii="Calibri" w:hAnsi="Calibri"/>
                <w:color w:val="2B2D42"/>
                <w:sz w:val="18"/>
              </w:rPr>
              <w:t>Corporate budget flush and holiday retail drive strong recurring Q4 demand.</w:t>
            </w:r>
          </w:p>
        </w:tc>
      </w:tr>
      <w:tr>
        <w:tc>
          <w:tcPr>
            <w:tcW w:type="dxa" w:w="1728"/>
            <w:shd w:fill="FFFFFF"/>
            <w:tcMar>
              <w:top w:w="80" w:type="dxa"/>
              <w:bottom w:w="80" w:type="dxa"/>
              <w:left w:w="120" w:type="dxa"/>
              <w:right w:w="120" w:type="dxa"/>
            </w:tcMar>
          </w:tcPr>
          <w:p>
            <w:pPr>
              <w:jc w:val="left"/>
            </w:pPr>
            <w:r>
              <w:rPr>
                <w:rFonts w:ascii="Calibri" w:hAnsi="Calibri"/>
                <w:color w:val="2B2D42"/>
                <w:sz w:val="18"/>
              </w:rPr>
              <w:t>7. The 20% Discount Cliff</w:t>
            </w:r>
          </w:p>
        </w:tc>
        <w:tc>
          <w:tcPr>
            <w:tcW w:type="dxa" w:w="720"/>
            <w:shd w:fill="FFFFFF"/>
            <w:tcMar>
              <w:top w:w="80" w:type="dxa"/>
              <w:bottom w:w="80" w:type="dxa"/>
              <w:left w:w="120" w:type="dxa"/>
              <w:right w:w="120" w:type="dxa"/>
            </w:tcMar>
          </w:tcPr>
          <w:p>
            <w:pPr>
              <w:jc w:val="right"/>
            </w:pPr>
            <w:r>
              <w:rPr>
                <w:rFonts w:ascii="Calibri" w:hAnsi="Calibri"/>
                <w:color w:val="2B2D42"/>
                <w:sz w:val="18"/>
              </w:rPr>
              <w:t>Vis 6</w:t>
            </w:r>
          </w:p>
        </w:tc>
        <w:tc>
          <w:tcPr>
            <w:tcW w:type="dxa" w:w="3168"/>
            <w:shd w:fill="FFFFFF"/>
            <w:tcMar>
              <w:top w:w="80" w:type="dxa"/>
              <w:bottom w:w="80" w:type="dxa"/>
              <w:left w:w="120" w:type="dxa"/>
              <w:right w:w="120" w:type="dxa"/>
            </w:tcMar>
          </w:tcPr>
          <w:p>
            <w:pPr>
              <w:jc w:val="right"/>
            </w:pPr>
            <w:r>
              <w:rPr>
                <w:rFonts w:ascii="Calibri" w:hAnsi="Calibri"/>
                <w:color w:val="2B2D42"/>
                <w:sz w:val="18"/>
              </w:rPr>
              <w:t>Discounts &gt; 20% trigger massive losses; rank correlation r_s = -0.543.</w:t>
            </w:r>
          </w:p>
        </w:tc>
        <w:tc>
          <w:tcPr>
            <w:tcW w:type="dxa" w:w="3744"/>
            <w:shd w:fill="FFFFFF"/>
            <w:tcMar>
              <w:top w:w="80" w:type="dxa"/>
              <w:bottom w:w="80" w:type="dxa"/>
              <w:left w:w="120" w:type="dxa"/>
              <w:right w:w="120" w:type="dxa"/>
            </w:tcMar>
          </w:tcPr>
          <w:p>
            <w:pPr>
              <w:jc w:val="right"/>
            </w:pPr>
            <w:r>
              <w:rPr>
                <w:rFonts w:ascii="Calibri" w:hAnsi="Calibri"/>
                <w:color w:val="2B2D42"/>
                <w:sz w:val="18"/>
              </w:rPr>
              <w:t>Discounts above 20% systematically destroy transaction profitability.</w:t>
            </w:r>
          </w:p>
        </w:tc>
      </w:tr>
      <w:tr>
        <w:tc>
          <w:tcPr>
            <w:tcW w:type="dxa" w:w="1728"/>
            <w:shd w:fill="F8F9FA"/>
            <w:tcMar>
              <w:top w:w="80" w:type="dxa"/>
              <w:bottom w:w="80" w:type="dxa"/>
              <w:left w:w="120" w:type="dxa"/>
              <w:right w:w="120" w:type="dxa"/>
            </w:tcMar>
          </w:tcPr>
          <w:p>
            <w:pPr>
              <w:jc w:val="left"/>
            </w:pPr>
            <w:r>
              <w:rPr>
                <w:rFonts w:ascii="Calibri" w:hAnsi="Calibri"/>
                <w:color w:val="2B2D42"/>
                <w:sz w:val="18"/>
              </w:rPr>
              <w:t>8. High-Value Dispersion</w:t>
            </w:r>
          </w:p>
        </w:tc>
        <w:tc>
          <w:tcPr>
            <w:tcW w:type="dxa" w:w="720"/>
            <w:shd w:fill="F8F9FA"/>
            <w:tcMar>
              <w:top w:w="80" w:type="dxa"/>
              <w:bottom w:w="80" w:type="dxa"/>
              <w:left w:w="120" w:type="dxa"/>
              <w:right w:w="120" w:type="dxa"/>
            </w:tcMar>
          </w:tcPr>
          <w:p>
            <w:pPr>
              <w:jc w:val="right"/>
            </w:pPr>
            <w:r>
              <w:rPr>
                <w:rFonts w:ascii="Calibri" w:hAnsi="Calibri"/>
                <w:color w:val="2B2D42"/>
                <w:sz w:val="18"/>
              </w:rPr>
              <w:t>Vis 7</w:t>
            </w:r>
          </w:p>
        </w:tc>
        <w:tc>
          <w:tcPr>
            <w:tcW w:type="dxa" w:w="3168"/>
            <w:shd w:fill="F8F9FA"/>
            <w:tcMar>
              <w:top w:w="80" w:type="dxa"/>
              <w:bottom w:w="80" w:type="dxa"/>
              <w:left w:w="120" w:type="dxa"/>
              <w:right w:w="120" w:type="dxa"/>
            </w:tcMar>
          </w:tcPr>
          <w:p>
            <w:pPr>
              <w:jc w:val="right"/>
            </w:pPr>
            <w:r>
              <w:rPr>
                <w:rFonts w:ascii="Calibri" w:hAnsi="Calibri"/>
                <w:color w:val="2B2D42"/>
                <w:sz w:val="18"/>
              </w:rPr>
              <w:t>Deals &gt; $5K flare into extreme profits (+$8.4K) or extreme losses (-$6.6K).</w:t>
            </w:r>
          </w:p>
        </w:tc>
        <w:tc>
          <w:tcPr>
            <w:tcW w:type="dxa" w:w="3744"/>
            <w:shd w:fill="F8F9FA"/>
            <w:tcMar>
              <w:top w:w="80" w:type="dxa"/>
              <w:bottom w:w="80" w:type="dxa"/>
              <w:left w:w="120" w:type="dxa"/>
              <w:right w:w="120" w:type="dxa"/>
            </w:tcMar>
          </w:tcPr>
          <w:p>
            <w:pPr>
              <w:jc w:val="left"/>
            </w:pPr>
            <w:r>
              <w:rPr>
                <w:rFonts w:ascii="Calibri" w:hAnsi="Calibri"/>
                <w:color w:val="2B2D42"/>
                <w:sz w:val="18"/>
              </w:rPr>
              <w:t>High-revenue transactions carry extreme operational and margin volatility.</w:t>
            </w:r>
          </w:p>
        </w:tc>
      </w:tr>
      <w:tr>
        <w:tc>
          <w:tcPr>
            <w:tcW w:type="dxa" w:w="1728"/>
            <w:shd w:fill="FFFFFF"/>
            <w:tcMar>
              <w:top w:w="80" w:type="dxa"/>
              <w:bottom w:w="80" w:type="dxa"/>
              <w:left w:w="120" w:type="dxa"/>
              <w:right w:w="120" w:type="dxa"/>
            </w:tcMar>
          </w:tcPr>
          <w:p>
            <w:pPr>
              <w:jc w:val="left"/>
            </w:pPr>
            <w:r>
              <w:rPr>
                <w:rFonts w:ascii="Calibri" w:hAnsi="Calibri"/>
                <w:color w:val="2B2D42"/>
                <w:sz w:val="18"/>
              </w:rPr>
              <w:t>9. Sub-Category Drain</w:t>
            </w:r>
          </w:p>
        </w:tc>
        <w:tc>
          <w:tcPr>
            <w:tcW w:type="dxa" w:w="720"/>
            <w:shd w:fill="FFFFFF"/>
            <w:tcMar>
              <w:top w:w="80" w:type="dxa"/>
              <w:bottom w:w="80" w:type="dxa"/>
              <w:left w:w="120" w:type="dxa"/>
              <w:right w:w="120" w:type="dxa"/>
            </w:tcMar>
          </w:tcPr>
          <w:p>
            <w:pPr>
              <w:jc w:val="right"/>
            </w:pPr>
            <w:r>
              <w:rPr>
                <w:rFonts w:ascii="Calibri" w:hAnsi="Calibri"/>
                <w:color w:val="2B2D42"/>
                <w:sz w:val="18"/>
              </w:rPr>
              <w:t>Vis 8</w:t>
            </w:r>
          </w:p>
        </w:tc>
        <w:tc>
          <w:tcPr>
            <w:tcW w:type="dxa" w:w="3168"/>
            <w:shd w:fill="FFFFFF"/>
            <w:tcMar>
              <w:top w:w="80" w:type="dxa"/>
              <w:bottom w:w="80" w:type="dxa"/>
              <w:left w:w="120" w:type="dxa"/>
              <w:right w:w="120" w:type="dxa"/>
            </w:tcMar>
          </w:tcPr>
          <w:p>
            <w:pPr>
              <w:jc w:val="right"/>
            </w:pPr>
            <w:r>
              <w:rPr>
                <w:rFonts w:ascii="Calibri" w:hAnsi="Calibri"/>
                <w:color w:val="2B2D42"/>
                <w:sz w:val="18"/>
              </w:rPr>
              <w:t>Tables lose -$17.7K (-8.6% margin) and Bookcases lose -$3.5K.</w:t>
            </w:r>
          </w:p>
        </w:tc>
        <w:tc>
          <w:tcPr>
            <w:tcW w:type="dxa" w:w="3744"/>
            <w:shd w:fill="FFFFFF"/>
            <w:tcMar>
              <w:top w:w="80" w:type="dxa"/>
              <w:bottom w:w="80" w:type="dxa"/>
              <w:left w:w="120" w:type="dxa"/>
              <w:right w:w="120" w:type="dxa"/>
            </w:tcMar>
          </w:tcPr>
          <w:p>
            <w:pPr>
              <w:jc w:val="left"/>
            </w:pPr>
            <w:r>
              <w:rPr>
                <w:rFonts w:ascii="Calibri" w:hAnsi="Calibri"/>
                <w:color w:val="2B2D42"/>
                <w:sz w:val="18"/>
              </w:rPr>
              <w:t>The Furniture crisis is concentrated specifically in Tables and Bookcases.</w:t>
            </w:r>
          </w:p>
        </w:tc>
      </w:tr>
      <w:tr>
        <w:tc>
          <w:tcPr>
            <w:tcW w:type="dxa" w:w="1728"/>
            <w:shd w:fill="F8F9FA"/>
            <w:tcMar>
              <w:top w:w="80" w:type="dxa"/>
              <w:bottom w:w="80" w:type="dxa"/>
              <w:left w:w="120" w:type="dxa"/>
              <w:right w:w="120" w:type="dxa"/>
            </w:tcMar>
          </w:tcPr>
          <w:p>
            <w:pPr>
              <w:jc w:val="left"/>
            </w:pPr>
            <w:r>
              <w:rPr>
                <w:rFonts w:ascii="Calibri" w:hAnsi="Calibri"/>
                <w:color w:val="2B2D42"/>
                <w:sz w:val="18"/>
              </w:rPr>
              <w:t>10. Copier Profit Engine</w:t>
            </w:r>
          </w:p>
        </w:tc>
        <w:tc>
          <w:tcPr>
            <w:tcW w:type="dxa" w:w="720"/>
            <w:shd w:fill="F8F9FA"/>
            <w:tcMar>
              <w:top w:w="80" w:type="dxa"/>
              <w:bottom w:w="80" w:type="dxa"/>
              <w:left w:w="120" w:type="dxa"/>
              <w:right w:w="120" w:type="dxa"/>
            </w:tcMar>
          </w:tcPr>
          <w:p>
            <w:pPr>
              <w:jc w:val="right"/>
            </w:pPr>
            <w:r>
              <w:rPr>
                <w:rFonts w:ascii="Calibri" w:hAnsi="Calibri"/>
                <w:color w:val="2B2D42"/>
                <w:sz w:val="18"/>
              </w:rPr>
              <w:t>Vis 8</w:t>
            </w:r>
          </w:p>
        </w:tc>
        <w:tc>
          <w:tcPr>
            <w:tcW w:type="dxa" w:w="3168"/>
            <w:shd w:fill="F8F9FA"/>
            <w:tcMar>
              <w:top w:w="80" w:type="dxa"/>
              <w:bottom w:w="80" w:type="dxa"/>
              <w:left w:w="120" w:type="dxa"/>
              <w:right w:w="120" w:type="dxa"/>
            </w:tcMar>
          </w:tcPr>
          <w:p>
            <w:pPr>
              <w:jc w:val="right"/>
            </w:pPr>
            <w:r>
              <w:rPr>
                <w:rFonts w:ascii="Calibri" w:hAnsi="Calibri"/>
                <w:color w:val="2B2D42"/>
                <w:sz w:val="18"/>
              </w:rPr>
              <w:t>Copiers generate $55.6K in net profit at a phenomenal 37.2% margin.</w:t>
            </w:r>
          </w:p>
        </w:tc>
        <w:tc>
          <w:tcPr>
            <w:tcW w:type="dxa" w:w="3744"/>
            <w:shd w:fill="F8F9FA"/>
            <w:tcMar>
              <w:top w:w="80" w:type="dxa"/>
              <w:bottom w:w="80" w:type="dxa"/>
              <w:left w:w="120" w:type="dxa"/>
              <w:right w:w="120" w:type="dxa"/>
            </w:tcMar>
          </w:tcPr>
          <w:p>
            <w:pPr>
              <w:jc w:val="left"/>
            </w:pPr>
            <w:r>
              <w:rPr>
                <w:rFonts w:ascii="Calibri" w:hAnsi="Calibri"/>
                <w:color w:val="2B2D42"/>
                <w:sz w:val="18"/>
              </w:rPr>
              <w:t>Enterprise printing equipment is Superstore's most lucrative product line.</w:t>
            </w:r>
          </w:p>
        </w:tc>
      </w:tr>
      <w:tr>
        <w:tc>
          <w:tcPr>
            <w:tcW w:type="dxa" w:w="1728"/>
            <w:shd w:fill="FFFFFF"/>
            <w:tcMar>
              <w:top w:w="80" w:type="dxa"/>
              <w:bottom w:w="80" w:type="dxa"/>
              <w:left w:w="120" w:type="dxa"/>
              <w:right w:w="120" w:type="dxa"/>
            </w:tcMar>
          </w:tcPr>
          <w:p>
            <w:pPr>
              <w:jc w:val="left"/>
            </w:pPr>
            <w:r>
              <w:rPr>
                <w:rFonts w:ascii="Calibri" w:hAnsi="Calibri"/>
                <w:color w:val="2B2D42"/>
                <w:sz w:val="18"/>
              </w:rPr>
              <w:t>11. Central Margin Deficit</w:t>
            </w:r>
          </w:p>
        </w:tc>
        <w:tc>
          <w:tcPr>
            <w:tcW w:type="dxa" w:w="720"/>
            <w:shd w:fill="FFFFFF"/>
            <w:tcMar>
              <w:top w:w="80" w:type="dxa"/>
              <w:bottom w:w="80" w:type="dxa"/>
              <w:left w:w="120" w:type="dxa"/>
              <w:right w:w="120" w:type="dxa"/>
            </w:tcMar>
          </w:tcPr>
          <w:p>
            <w:pPr>
              <w:jc w:val="right"/>
            </w:pPr>
            <w:r>
              <w:rPr>
                <w:rFonts w:ascii="Calibri" w:hAnsi="Calibri"/>
                <w:color w:val="2B2D42"/>
                <w:sz w:val="18"/>
              </w:rPr>
              <w:t>Vis 10</w:t>
            </w:r>
          </w:p>
        </w:tc>
        <w:tc>
          <w:tcPr>
            <w:tcW w:type="dxa" w:w="3168"/>
            <w:shd w:fill="FFFFFF"/>
            <w:tcMar>
              <w:top w:w="80" w:type="dxa"/>
              <w:bottom w:w="80" w:type="dxa"/>
              <w:left w:w="120" w:type="dxa"/>
              <w:right w:w="120" w:type="dxa"/>
            </w:tcMar>
          </w:tcPr>
          <w:p>
            <w:pPr>
              <w:jc w:val="right"/>
            </w:pPr>
            <w:r>
              <w:rPr>
                <w:rFonts w:ascii="Calibri" w:hAnsi="Calibri"/>
                <w:color w:val="2B2D42"/>
                <w:sz w:val="18"/>
              </w:rPr>
              <w:t>Central generates $501K sales but only 7.9% margin (West achieves 14.9%).</w:t>
            </w:r>
          </w:p>
        </w:tc>
        <w:tc>
          <w:tcPr>
            <w:tcW w:type="dxa" w:w="3744"/>
            <w:shd w:fill="FFFFFF"/>
            <w:tcMar>
              <w:top w:w="80" w:type="dxa"/>
              <w:bottom w:w="80" w:type="dxa"/>
              <w:left w:w="120" w:type="dxa"/>
              <w:right w:w="120" w:type="dxa"/>
            </w:tcMar>
          </w:tcPr>
          <w:p>
            <w:pPr>
              <w:jc w:val="right"/>
            </w:pPr>
            <w:r>
              <w:rPr>
                <w:rFonts w:ascii="Calibri" w:hAnsi="Calibri"/>
                <w:color w:val="2B2D42"/>
                <w:sz w:val="18"/>
              </w:rPr>
              <w:t>Excessive discounting (24.0% average) in Central severely erodes profitability.</w:t>
            </w:r>
          </w:p>
        </w:tc>
      </w:tr>
      <w:tr>
        <w:tc>
          <w:tcPr>
            <w:tcW w:type="dxa" w:w="1728"/>
            <w:shd w:fill="F8F9FA"/>
            <w:tcMar>
              <w:top w:w="80" w:type="dxa"/>
              <w:bottom w:w="80" w:type="dxa"/>
              <w:left w:w="120" w:type="dxa"/>
              <w:right w:w="120" w:type="dxa"/>
            </w:tcMar>
          </w:tcPr>
          <w:p>
            <w:pPr>
              <w:jc w:val="left"/>
            </w:pPr>
            <w:r>
              <w:rPr>
                <w:rFonts w:ascii="Calibri" w:hAnsi="Calibri"/>
                <w:color w:val="2B2D42"/>
                <w:sz w:val="18"/>
              </w:rPr>
              <w:t>12. Logistics Discipline</w:t>
            </w:r>
          </w:p>
        </w:tc>
        <w:tc>
          <w:tcPr>
            <w:tcW w:type="dxa" w:w="720"/>
            <w:shd w:fill="F8F9FA"/>
            <w:tcMar>
              <w:top w:w="80" w:type="dxa"/>
              <w:bottom w:w="80" w:type="dxa"/>
              <w:left w:w="120" w:type="dxa"/>
              <w:right w:w="120" w:type="dxa"/>
            </w:tcMar>
          </w:tcPr>
          <w:p>
            <w:pPr>
              <w:jc w:val="right"/>
            </w:pPr>
            <w:r>
              <w:rPr>
                <w:rFonts w:ascii="Calibri" w:hAnsi="Calibri"/>
                <w:color w:val="2B2D42"/>
                <w:sz w:val="18"/>
              </w:rPr>
              <w:t>Vis 11</w:t>
            </w:r>
          </w:p>
        </w:tc>
        <w:tc>
          <w:tcPr>
            <w:tcW w:type="dxa" w:w="3168"/>
            <w:shd w:fill="F8F9FA"/>
            <w:tcMar>
              <w:top w:w="80" w:type="dxa"/>
              <w:bottom w:w="80" w:type="dxa"/>
              <w:left w:w="120" w:type="dxa"/>
              <w:right w:w="120" w:type="dxa"/>
            </w:tcMar>
          </w:tcPr>
          <w:p>
            <w:pPr>
              <w:jc w:val="right"/>
            </w:pPr>
            <w:r>
              <w:rPr>
                <w:rFonts w:ascii="Calibri" w:hAnsi="Calibri"/>
                <w:color w:val="2B2D42"/>
                <w:sz w:val="18"/>
              </w:rPr>
              <w:t>Same Day ships in 0.04 days; Standard ships in 5.01 days (100% SLA).</w:t>
            </w:r>
          </w:p>
        </w:tc>
        <w:tc>
          <w:tcPr>
            <w:tcW w:type="dxa" w:w="3744"/>
            <w:shd w:fill="F8F9FA"/>
            <w:tcMar>
              <w:top w:w="80" w:type="dxa"/>
              <w:bottom w:w="80" w:type="dxa"/>
              <w:left w:w="120" w:type="dxa"/>
              <w:right w:w="120" w:type="dxa"/>
            </w:tcMar>
          </w:tcPr>
          <w:p>
            <w:pPr>
              <w:jc w:val="left"/>
            </w:pPr>
            <w:r>
              <w:rPr>
                <w:rFonts w:ascii="Calibri" w:hAnsi="Calibri"/>
                <w:color w:val="2B2D42"/>
                <w:sz w:val="18"/>
              </w:rPr>
              <w:t>Fulfillment operations are sound; operational focus must center on pricing.</w:t>
            </w:r>
          </w:p>
        </w:tc>
      </w:tr>
    </w:tbl>
    <w:p>
      <w:pPr>
        <w:spacing w:after="80"/>
      </w:pPr>
    </w:p>
    <w:p>
      <w:r>
        <w:br w:type="page"/>
      </w:r>
    </w:p>
    <w:p>
      <w:pPr>
        <w:keepNext/>
        <w:spacing w:before="320" w:after="120"/>
      </w:pPr>
      <w:r>
        <w:rPr>
          <w:rFonts w:ascii="Calibri" w:hAnsi="Calibri"/>
          <w:b/>
          <w:color w:val="1D3557"/>
          <w:sz w:val="34"/>
        </w:rPr>
        <w:t>22. BUSINESS TRANSLATION &amp; STRATEGIC RECOMMENDATIONS</w:t>
      </w:r>
    </w:p>
    <w:p>
      <w:pPr>
        <w:spacing w:after="80" w:line="276" w:lineRule="auto"/>
      </w:pPr>
      <w:r>
        <w:rPr>
          <w:rFonts w:ascii="Calibri" w:hAnsi="Calibri"/>
          <w:color w:val="2B2D42"/>
          <w:sz w:val="22"/>
        </w:rPr>
        <w:t>To maximize executive utility, technical findings must be translated into pragmatic, actionable commercial strategies. In accordance with rigorous analytical standards, the following recommendations are framed as analytical implications derived from observed empirical patterns, rather than proven causal certainties.</w:t>
      </w:r>
    </w:p>
    <w:p>
      <w:pPr>
        <w:keepNext/>
        <w:spacing w:before="240" w:after="80"/>
      </w:pPr>
      <w:r>
        <w:rPr>
          <w:rFonts w:ascii="Calibri" w:hAnsi="Calibri"/>
          <w:b/>
          <w:color w:val="457B9D"/>
          <w:sz w:val="27"/>
        </w:rPr>
        <w:t>22.1 Commercial Implications Without Causal Overreach</w:t>
      </w:r>
    </w:p>
    <w:p>
      <w:pPr>
        <w:spacing w:after="80" w:line="276" w:lineRule="auto"/>
      </w:pPr>
      <w:r>
        <w:rPr>
          <w:rFonts w:ascii="Calibri" w:hAnsi="Calibri"/>
          <w:color w:val="2B2D42"/>
          <w:sz w:val="22"/>
        </w:rPr>
        <w:t>While the data confirms a strong negative association between discounting and profitability, management should not simply eliminate all promotional pricing. Discounts serve strategic commercial purposes, including clearing obsolete inventory, securing multi-year corporate accounts, and driving initial customer acquisition. However, the data proves that current discounting practices lack economic discipline, routinely discounting high-cost commercial goods far past the point of gross margin recovery.</w:t>
      </w:r>
    </w:p>
    <w:p>
      <w:pPr>
        <w:keepNext/>
        <w:spacing w:before="240" w:after="80"/>
      </w:pPr>
      <w:r>
        <w:rPr>
          <w:rFonts w:ascii="Calibri" w:hAnsi="Calibri"/>
          <w:b/>
          <w:color w:val="457B9D"/>
          <w:sz w:val="27"/>
        </w:rPr>
        <w:t>22.2 Proposed Strategic Governance Framework</w:t>
      </w:r>
    </w:p>
    <w:p>
      <w:pPr>
        <w:pStyle w:val="ListBullet"/>
        <w:spacing w:after="60" w:line="276" w:lineRule="auto"/>
      </w:pPr>
      <w:r>
        <w:rPr>
          <w:rFonts w:ascii="Calibri" w:hAnsi="Calibri"/>
          <w:b/>
          <w:color w:val="1D3557"/>
          <w:sz w:val="22"/>
        </w:rPr>
        <w:t xml:space="preserve">1. Enforce a 20% Hard Discount Ceiling: </w:t>
      </w:r>
      <w:r>
        <w:rPr>
          <w:rFonts w:ascii="Calibri" w:hAnsi="Calibri"/>
          <w:color w:val="2B2D42"/>
          <w:sz w:val="22"/>
        </w:rPr>
        <w:t>Institute a mandatory Deal Desk review for any transaction requesting a discount greater than 20%, requiring explicit gross margin verification before quote issuance.</w:t>
      </w:r>
    </w:p>
    <w:p>
      <w:pPr>
        <w:pStyle w:val="ListBullet"/>
        <w:spacing w:after="60" w:line="276" w:lineRule="auto"/>
      </w:pPr>
      <w:r>
        <w:rPr>
          <w:rFonts w:ascii="Calibri" w:hAnsi="Calibri"/>
          <w:b/>
          <w:color w:val="1D3557"/>
          <w:sz w:val="22"/>
        </w:rPr>
        <w:t xml:space="preserve">2. Remediate Tables &amp; Bookcases: </w:t>
      </w:r>
      <w:r>
        <w:rPr>
          <w:rFonts w:ascii="Calibri" w:hAnsi="Calibri"/>
          <w:color w:val="2B2D42"/>
          <w:sz w:val="22"/>
        </w:rPr>
        <w:t>Temporarily suspend promotional discounting on Tables and Bookcases. Renegotiate wholesale supplier costs and flat-pack freight surcharges to eliminate structural sub-category deficits.</w:t>
      </w:r>
    </w:p>
    <w:p>
      <w:pPr>
        <w:pStyle w:val="ListBullet"/>
        <w:spacing w:after="60" w:line="276" w:lineRule="auto"/>
      </w:pPr>
      <w:r>
        <w:rPr>
          <w:rFonts w:ascii="Calibri" w:hAnsi="Calibri"/>
          <w:b/>
          <w:color w:val="1D3557"/>
          <w:sz w:val="22"/>
        </w:rPr>
        <w:t xml:space="preserve">3. Central Region Pricing Governance: </w:t>
      </w:r>
      <w:r>
        <w:rPr>
          <w:rFonts w:ascii="Calibri" w:hAnsi="Calibri"/>
          <w:color w:val="2B2D42"/>
          <w:sz w:val="22"/>
        </w:rPr>
        <w:t>Audit Central region sales operations in Illinois and Texas. Transition Central account executive compensation from top-line gross revenue volume to gross margin dollar generation.</w:t>
      </w:r>
    </w:p>
    <w:p>
      <w:pPr>
        <w:pStyle w:val="ListBullet"/>
        <w:spacing w:after="60" w:line="276" w:lineRule="auto"/>
      </w:pPr>
      <w:r>
        <w:rPr>
          <w:rFonts w:ascii="Calibri" w:hAnsi="Calibri"/>
          <w:b/>
          <w:color w:val="1D3557"/>
          <w:sz w:val="22"/>
        </w:rPr>
        <w:t xml:space="preserve">4. Capitalize on Lucrative Niches: </w:t>
      </w:r>
      <w:r>
        <w:rPr>
          <w:rFonts w:ascii="Calibri" w:hAnsi="Calibri"/>
          <w:color w:val="2B2D42"/>
          <w:sz w:val="22"/>
        </w:rPr>
        <w:t>Expand marketing and inventory capital allocated to Technology Copiers, Accessories, and Office Paper, which reliably return 25% to 43% net commercial margins.</w:t>
      </w:r>
    </w:p>
    <w:p>
      <w:pPr>
        <w:keepNext/>
        <w:spacing w:before="320" w:after="120"/>
      </w:pPr>
      <w:r>
        <w:rPr>
          <w:rFonts w:ascii="Calibri" w:hAnsi="Calibri"/>
          <w:b/>
          <w:color w:val="1D3557"/>
          <w:sz w:val="34"/>
        </w:rPr>
        <w:t>23. METHODOLOGICAL &amp; DATA LIMITATIONS</w:t>
      </w:r>
    </w:p>
    <w:p>
      <w:pPr>
        <w:spacing w:after="80" w:line="276" w:lineRule="auto"/>
      </w:pPr>
      <w:r>
        <w:rPr>
          <w:rFonts w:ascii="Calibri" w:hAnsi="Calibri"/>
          <w:color w:val="2B2D42"/>
          <w:sz w:val="22"/>
        </w:rPr>
        <w:t>Honest analytical reporting requires full transparency regarding data constraints and analytical boundaries:</w:t>
      </w:r>
    </w:p>
    <w:p>
      <w:pPr>
        <w:pStyle w:val="ListBullet"/>
        <w:spacing w:after="60" w:line="276" w:lineRule="auto"/>
      </w:pPr>
      <w:r>
        <w:rPr>
          <w:rFonts w:ascii="Calibri" w:hAnsi="Calibri"/>
          <w:b/>
          <w:color w:val="1D3557"/>
          <w:sz w:val="22"/>
        </w:rPr>
        <w:t xml:space="preserve">Observational Data Architecture: </w:t>
      </w:r>
      <w:r>
        <w:rPr>
          <w:rFonts w:ascii="Calibri" w:hAnsi="Calibri"/>
          <w:color w:val="2B2D42"/>
          <w:sz w:val="22"/>
        </w:rPr>
        <w:t>The dataset reflects historical observational data rather than a randomized controlled trial (A/B pricing experiment). We cannot observe the counterfactual behavior of clients had lower discounts been applied.</w:t>
      </w:r>
    </w:p>
    <w:p>
      <w:pPr>
        <w:pStyle w:val="ListBullet"/>
        <w:spacing w:after="60" w:line="276" w:lineRule="auto"/>
      </w:pPr>
      <w:r>
        <w:rPr>
          <w:rFonts w:ascii="Calibri" w:hAnsi="Calibri"/>
          <w:b/>
          <w:color w:val="1D3557"/>
          <w:sz w:val="22"/>
        </w:rPr>
        <w:t xml:space="preserve">Omitted Variable Bias: </w:t>
      </w:r>
      <w:r>
        <w:rPr>
          <w:rFonts w:ascii="Calibri" w:hAnsi="Calibri"/>
          <w:color w:val="2B2D42"/>
          <w:sz w:val="22"/>
        </w:rPr>
        <w:t>The dataset lacks granular Cost of Goods Sold (COGS), inbound freight, warehouse labor, and overhead allocations. Net profit is recorded as a single figure without breakdown.</w:t>
      </w:r>
    </w:p>
    <w:p>
      <w:pPr>
        <w:pStyle w:val="ListBullet"/>
        <w:spacing w:after="60" w:line="276" w:lineRule="auto"/>
      </w:pPr>
      <w:r>
        <w:rPr>
          <w:rFonts w:ascii="Calibri" w:hAnsi="Calibri"/>
          <w:b/>
          <w:color w:val="1D3557"/>
          <w:sz w:val="22"/>
        </w:rPr>
        <w:t xml:space="preserve">Customer Lifecycle Blindspot: </w:t>
      </w:r>
      <w:r>
        <w:rPr>
          <w:rFonts w:ascii="Calibri" w:hAnsi="Calibri"/>
          <w:color w:val="2B2D42"/>
          <w:sz w:val="22"/>
        </w:rPr>
        <w:t>Customer acquisition costs (CAC) and customer lifetime value (LTV) cannot be tracked. It is possible that some loss-making orders represent strategic 'loss-leaders' that secure lucrative recurring corporate accounts.</w:t>
      </w:r>
    </w:p>
    <w:p>
      <w:pPr>
        <w:pStyle w:val="ListBullet"/>
        <w:spacing w:after="60" w:line="276" w:lineRule="auto"/>
      </w:pPr>
      <w:r>
        <w:rPr>
          <w:rFonts w:ascii="Calibri" w:hAnsi="Calibri"/>
          <w:b/>
          <w:color w:val="1D3557"/>
          <w:sz w:val="22"/>
        </w:rPr>
        <w:t xml:space="preserve">Aggregation Fallacies: </w:t>
      </w:r>
      <w:r>
        <w:rPr>
          <w:rFonts w:ascii="Calibri" w:hAnsi="Calibri"/>
          <w:color w:val="2B2D42"/>
          <w:sz w:val="22"/>
        </w:rPr>
        <w:t>Analysis aggregated across categories or regions can mask micro-level state or municipal variance (ecological fallacy).</w:t>
      </w:r>
    </w:p>
    <w:p>
      <w:r>
        <w:br w:type="page"/>
      </w:r>
    </w:p>
    <w:p>
      <w:pPr>
        <w:keepNext/>
        <w:spacing w:before="320" w:after="120"/>
      </w:pPr>
      <w:r>
        <w:rPr>
          <w:rFonts w:ascii="Calibri" w:hAnsi="Calibri"/>
          <w:b/>
          <w:color w:val="1D3557"/>
          <w:sz w:val="34"/>
        </w:rPr>
        <w:t>24. CONCLUSION &amp; ANALYTICAL LESSONS</w:t>
      </w:r>
    </w:p>
    <w:p>
      <w:pPr>
        <w:spacing w:after="80" w:line="276" w:lineRule="auto"/>
      </w:pPr>
      <w:r>
        <w:rPr>
          <w:rFonts w:ascii="Calibri" w:hAnsi="Calibri"/>
          <w:color w:val="2B2D42"/>
          <w:sz w:val="22"/>
        </w:rPr>
        <w:t>This project successfully accomplished the Week 2 objectives of exploratory data visualization and insight communication using R. By applying declarative ggplot2 grammar, rigorous data cleaning, and structured statistical aggregations to the Superstore sales dataset, the analysis exposed profound commercial insights that remain invisible in high-level financial reports. The project proved that gross sales revenue is a dangerous proxy for business health: while Superstore expanded top-line sales by 51.6% across four years, substantial portions of this volume actively destroyed capital due to unchecked discounting in Furniture and the Central region. By enforcing a 20% discount ceiling and restructuring loss-making sub-categories, enterprise leadership can unlock dramatic margin expansion.</w:t>
      </w:r>
    </w:p>
    <w:p>
      <w:pPr>
        <w:keepNext/>
        <w:spacing w:before="320" w:after="120"/>
      </w:pPr>
      <w:r>
        <w:rPr>
          <w:rFonts w:ascii="Calibri" w:hAnsi="Calibri"/>
          <w:b/>
          <w:color w:val="1D3557"/>
          <w:sz w:val="34"/>
        </w:rPr>
        <w:t>25. REPRODUCIBILITY &amp; ENVIRONMENT SPECIFICATIONS</w:t>
      </w:r>
    </w:p>
    <w:p>
      <w:pPr>
        <w:spacing w:after="80" w:line="276" w:lineRule="auto"/>
      </w:pPr>
      <w:r>
        <w:rPr>
          <w:rFonts w:ascii="Calibri" w:hAnsi="Calibri"/>
          <w:color w:val="2B2D42"/>
          <w:sz w:val="22"/>
        </w:rPr>
        <w:t>In accordance with modern reproducible research standards, the entire analytical pipeline can be re-executed from scratch to regenerate all tables, figures, and summaries identically. Table 5 documents the technical environment specifications.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680"/>
        <w:gridCol w:w="4680"/>
      </w:tblGrid>
      <w:tr>
        <w:tc>
          <w:tcPr>
            <w:tcW w:type="dxa" w:w="3168"/>
            <w:shd w:fill="1D3557"/>
            <w:tcMar>
              <w:top w:w="100" w:type="dxa"/>
              <w:bottom w:w="100" w:type="dxa"/>
              <w:left w:w="120" w:type="dxa"/>
              <w:right w:w="120" w:type="dxa"/>
            </w:tcMar>
          </w:tcPr>
          <w:p>
            <w:pPr>
              <w:jc w:val="left"/>
            </w:pPr>
            <w:r>
              <w:rPr>
                <w:rFonts w:ascii="Calibri" w:hAnsi="Calibri"/>
                <w:b/>
                <w:color w:val="FFFFFF"/>
                <w:sz w:val="19"/>
              </w:rPr>
              <w:t>System Component</w:t>
            </w:r>
          </w:p>
        </w:tc>
        <w:tc>
          <w:tcPr>
            <w:tcW w:type="dxa" w:w="6192"/>
            <w:shd w:fill="1D3557"/>
            <w:tcMar>
              <w:top w:w="100" w:type="dxa"/>
              <w:bottom w:w="100" w:type="dxa"/>
              <w:left w:w="120" w:type="dxa"/>
              <w:right w:w="120" w:type="dxa"/>
            </w:tcMar>
          </w:tcPr>
          <w:p>
            <w:pPr>
              <w:jc w:val="right"/>
            </w:pPr>
            <w:r>
              <w:rPr>
                <w:rFonts w:ascii="Calibri" w:hAnsi="Calibri"/>
                <w:b/>
                <w:color w:val="FFFFFF"/>
                <w:sz w:val="19"/>
              </w:rPr>
              <w:t>Technical Specification &amp; Manifest</w:t>
            </w:r>
          </w:p>
        </w:tc>
      </w:tr>
      <w:tr>
        <w:tc>
          <w:tcPr>
            <w:tcW w:type="dxa" w:w="3168"/>
            <w:shd w:fill="FFFFFF"/>
            <w:tcMar>
              <w:top w:w="80" w:type="dxa"/>
              <w:bottom w:w="80" w:type="dxa"/>
              <w:left w:w="120" w:type="dxa"/>
              <w:right w:w="120" w:type="dxa"/>
            </w:tcMar>
          </w:tcPr>
          <w:p>
            <w:pPr>
              <w:jc w:val="left"/>
            </w:pPr>
            <w:r>
              <w:rPr>
                <w:rFonts w:ascii="Calibri" w:hAnsi="Calibri"/>
                <w:color w:val="2B2D42"/>
                <w:sz w:val="18"/>
              </w:rPr>
              <w:t>R Language Environment</w:t>
            </w:r>
          </w:p>
        </w:tc>
        <w:tc>
          <w:tcPr>
            <w:tcW w:type="dxa" w:w="6192"/>
            <w:shd w:fill="FFFFFF"/>
            <w:tcMar>
              <w:top w:w="80" w:type="dxa"/>
              <w:bottom w:w="80" w:type="dxa"/>
              <w:left w:w="120" w:type="dxa"/>
              <w:right w:w="120" w:type="dxa"/>
            </w:tcMar>
          </w:tcPr>
          <w:p>
            <w:pPr>
              <w:jc w:val="right"/>
            </w:pPr>
            <w:r>
              <w:rPr>
                <w:rFonts w:ascii="Calibri" w:hAnsi="Calibri"/>
                <w:color w:val="2B2D42"/>
                <w:sz w:val="18"/>
              </w:rPr>
              <w:t>R version 4.6.1 (2026-06-24 ucrt) | x86_64-w64-mingw32</w:t>
            </w:r>
          </w:p>
        </w:tc>
      </w:tr>
      <w:tr>
        <w:tc>
          <w:tcPr>
            <w:tcW w:type="dxa" w:w="3168"/>
            <w:shd w:fill="F8F9FA"/>
            <w:tcMar>
              <w:top w:w="80" w:type="dxa"/>
              <w:bottom w:w="80" w:type="dxa"/>
              <w:left w:w="120" w:type="dxa"/>
              <w:right w:w="120" w:type="dxa"/>
            </w:tcMar>
          </w:tcPr>
          <w:p>
            <w:pPr>
              <w:jc w:val="left"/>
            </w:pPr>
            <w:r>
              <w:rPr>
                <w:rFonts w:ascii="Calibri" w:hAnsi="Calibri"/>
                <w:color w:val="2B2D42"/>
                <w:sz w:val="18"/>
              </w:rPr>
              <w:t>Primary Graphics Engine</w:t>
            </w:r>
          </w:p>
        </w:tc>
        <w:tc>
          <w:tcPr>
            <w:tcW w:type="dxa" w:w="6192"/>
            <w:shd w:fill="F8F9FA"/>
            <w:tcMar>
              <w:top w:w="80" w:type="dxa"/>
              <w:bottom w:w="80" w:type="dxa"/>
              <w:left w:w="120" w:type="dxa"/>
              <w:right w:w="120" w:type="dxa"/>
            </w:tcMar>
          </w:tcPr>
          <w:p>
            <w:pPr>
              <w:jc w:val="right"/>
            </w:pPr>
            <w:r>
              <w:rPr>
                <w:rFonts w:ascii="Calibri" w:hAnsi="Calibri"/>
                <w:color w:val="2B2D42"/>
                <w:sz w:val="18"/>
              </w:rPr>
              <w:t>ggplot2 (v4.0.3), scales (v1.4.0), patchwork (v1.3.2)</w:t>
            </w:r>
          </w:p>
        </w:tc>
      </w:tr>
      <w:tr>
        <w:tc>
          <w:tcPr>
            <w:tcW w:type="dxa" w:w="3168"/>
            <w:shd w:fill="FFFFFF"/>
            <w:tcMar>
              <w:top w:w="80" w:type="dxa"/>
              <w:bottom w:w="80" w:type="dxa"/>
              <w:left w:w="120" w:type="dxa"/>
              <w:right w:w="120" w:type="dxa"/>
            </w:tcMar>
          </w:tcPr>
          <w:p>
            <w:pPr>
              <w:jc w:val="left"/>
            </w:pPr>
            <w:r>
              <w:rPr>
                <w:rFonts w:ascii="Calibri" w:hAnsi="Calibri"/>
                <w:color w:val="2B2D42"/>
                <w:sz w:val="18"/>
              </w:rPr>
              <w:t>Data Wrangling Libraries</w:t>
            </w:r>
          </w:p>
        </w:tc>
        <w:tc>
          <w:tcPr>
            <w:tcW w:type="dxa" w:w="6192"/>
            <w:shd w:fill="FFFFFF"/>
            <w:tcMar>
              <w:top w:w="80" w:type="dxa"/>
              <w:bottom w:w="80" w:type="dxa"/>
              <w:left w:w="120" w:type="dxa"/>
              <w:right w:w="120" w:type="dxa"/>
            </w:tcMar>
          </w:tcPr>
          <w:p>
            <w:pPr>
              <w:jc w:val="right"/>
            </w:pPr>
            <w:r>
              <w:rPr>
                <w:rFonts w:ascii="Calibri" w:hAnsi="Calibri"/>
                <w:color w:val="2B2D42"/>
                <w:sz w:val="18"/>
              </w:rPr>
              <w:t>dplyr (v1.2.1), tidyr (v1.3.2), readr (v2.2.0), lubridate (v1.9.5), forcats (v1.0.1)</w:t>
            </w:r>
          </w:p>
        </w:tc>
      </w:tr>
      <w:tr>
        <w:tc>
          <w:tcPr>
            <w:tcW w:type="dxa" w:w="3168"/>
            <w:shd w:fill="F8F9FA"/>
            <w:tcMar>
              <w:top w:w="80" w:type="dxa"/>
              <w:bottom w:w="80" w:type="dxa"/>
              <w:left w:w="120" w:type="dxa"/>
              <w:right w:w="120" w:type="dxa"/>
            </w:tcMar>
          </w:tcPr>
          <w:p>
            <w:pPr>
              <w:jc w:val="left"/>
            </w:pPr>
            <w:r>
              <w:rPr>
                <w:rFonts w:ascii="Calibri" w:hAnsi="Calibri"/>
                <w:color w:val="2B2D42"/>
                <w:sz w:val="18"/>
              </w:rPr>
              <w:t>Execution Command</w:t>
            </w:r>
          </w:p>
        </w:tc>
        <w:tc>
          <w:tcPr>
            <w:tcW w:type="dxa" w:w="6192"/>
            <w:shd w:fill="F8F9FA"/>
            <w:tcMar>
              <w:top w:w="80" w:type="dxa"/>
              <w:bottom w:w="80" w:type="dxa"/>
              <w:left w:w="120" w:type="dxa"/>
              <w:right w:w="120" w:type="dxa"/>
            </w:tcMar>
          </w:tcPr>
          <w:p>
            <w:pPr>
              <w:jc w:val="right"/>
            </w:pPr>
            <w:r>
              <w:rPr>
                <w:rFonts w:ascii="Calibri" w:hAnsi="Calibri"/>
                <w:color w:val="2B2D42"/>
                <w:sz w:val="18"/>
              </w:rPr>
              <w:t>Rscript R/08_export_results.R (Executed from project root)</w:t>
            </w:r>
          </w:p>
        </w:tc>
      </w:tr>
      <w:tr>
        <w:tc>
          <w:tcPr>
            <w:tcW w:type="dxa" w:w="3168"/>
            <w:shd w:fill="FFFFFF"/>
            <w:tcMar>
              <w:top w:w="80" w:type="dxa"/>
              <w:bottom w:w="80" w:type="dxa"/>
              <w:left w:w="120" w:type="dxa"/>
              <w:right w:w="120" w:type="dxa"/>
            </w:tcMar>
          </w:tcPr>
          <w:p>
            <w:pPr>
              <w:jc w:val="left"/>
            </w:pPr>
            <w:r>
              <w:rPr>
                <w:rFonts w:ascii="Calibri" w:hAnsi="Calibri"/>
                <w:color w:val="2B2D42"/>
                <w:sz w:val="18"/>
              </w:rPr>
              <w:t>Pipeline Execution Time</w:t>
            </w:r>
          </w:p>
        </w:tc>
        <w:tc>
          <w:tcPr>
            <w:tcW w:type="dxa" w:w="6192"/>
            <w:shd w:fill="FFFFFF"/>
            <w:tcMar>
              <w:top w:w="80" w:type="dxa"/>
              <w:bottom w:w="80" w:type="dxa"/>
              <w:left w:w="120" w:type="dxa"/>
              <w:right w:w="120" w:type="dxa"/>
            </w:tcMar>
          </w:tcPr>
          <w:p>
            <w:pPr>
              <w:jc w:val="right"/>
            </w:pPr>
            <w:r>
              <w:rPr>
                <w:rFonts w:ascii="Calibri" w:hAnsi="Calibri"/>
                <w:color w:val="2B2D42"/>
                <w:sz w:val="18"/>
              </w:rPr>
              <w:t>8.15 seconds (End-to-end execution of scripts 01 through 08)</w:t>
            </w:r>
          </w:p>
        </w:tc>
      </w:tr>
      <w:tr>
        <w:tc>
          <w:tcPr>
            <w:tcW w:type="dxa" w:w="3168"/>
            <w:shd w:fill="F8F9FA"/>
            <w:tcMar>
              <w:top w:w="80" w:type="dxa"/>
              <w:bottom w:w="80" w:type="dxa"/>
              <w:left w:w="120" w:type="dxa"/>
              <w:right w:w="120" w:type="dxa"/>
            </w:tcMar>
          </w:tcPr>
          <w:p>
            <w:pPr>
              <w:jc w:val="left"/>
            </w:pPr>
            <w:r>
              <w:rPr>
                <w:rFonts w:ascii="Calibri" w:hAnsi="Calibri"/>
                <w:color w:val="2B2D42"/>
                <w:sz w:val="18"/>
              </w:rPr>
              <w:t>Output Verification</w:t>
            </w:r>
          </w:p>
        </w:tc>
        <w:tc>
          <w:tcPr>
            <w:tcW w:type="dxa" w:w="6192"/>
            <w:shd w:fill="F8F9FA"/>
            <w:tcMar>
              <w:top w:w="80" w:type="dxa"/>
              <w:bottom w:w="80" w:type="dxa"/>
              <w:left w:w="120" w:type="dxa"/>
              <w:right w:w="120" w:type="dxa"/>
            </w:tcMar>
          </w:tcPr>
          <w:p>
            <w:pPr>
              <w:jc w:val="right"/>
            </w:pPr>
            <w:r>
              <w:rPr>
                <w:rFonts w:ascii="Calibri" w:hAnsi="Calibri"/>
                <w:color w:val="2B2D42"/>
                <w:sz w:val="18"/>
              </w:rPr>
              <w:t>14 tabular CSV assets and 11 high-resolution 300 DPI chart images validated</w:t>
            </w:r>
          </w:p>
        </w:tc>
      </w:tr>
    </w:tbl>
    <w:p>
      <w:pPr>
        <w:spacing w:after="80"/>
      </w:pPr>
    </w:p>
    <w:p>
      <w:pPr>
        <w:keepNext/>
        <w:spacing w:before="320" w:after="120"/>
      </w:pPr>
      <w:r>
        <w:rPr>
          <w:rFonts w:ascii="Calibri" w:hAnsi="Calibri"/>
          <w:b/>
          <w:color w:val="1D3557"/>
          <w:sz w:val="34"/>
        </w:rPr>
        <w:t>26. REFERENCES &amp; ACADEMIC SOURCES</w:t>
      </w:r>
    </w:p>
    <w:p>
      <w:pPr>
        <w:spacing w:after="80" w:line="276" w:lineRule="auto"/>
      </w:pPr>
      <w:r>
        <w:rPr>
          <w:rFonts w:ascii="Calibri" w:hAnsi="Calibri"/>
          <w:color w:val="2B2D42"/>
          <w:sz w:val="22"/>
        </w:rPr>
        <w:t>1. Cleveland, W. S. (1993). Visualizing Data. Hobart Press, Summit, New Jersey.</w:t>
      </w:r>
    </w:p>
    <w:p>
      <w:pPr>
        <w:spacing w:after="80" w:line="276" w:lineRule="auto"/>
      </w:pPr>
      <w:r>
        <w:rPr>
          <w:rFonts w:ascii="Calibri" w:hAnsi="Calibri"/>
          <w:color w:val="2B2D42"/>
          <w:sz w:val="22"/>
        </w:rPr>
        <w:t>2. Grolemund, G., &amp; Wickham, H. (2017). R for Data Science: Import, Tidy, Transform, Visualize, and Model Data. O'Reilly Media.</w:t>
      </w:r>
    </w:p>
    <w:p>
      <w:pPr>
        <w:spacing w:after="80" w:line="276" w:lineRule="auto"/>
      </w:pPr>
      <w:r>
        <w:rPr>
          <w:rFonts w:ascii="Calibri" w:hAnsi="Calibri"/>
          <w:color w:val="2B2D42"/>
          <w:sz w:val="22"/>
        </w:rPr>
        <w:t>3. Kaggle. (2020). Superstore Sales Dataset. Vivek Patel repository. https://www.kaggle.com/datasets/vivek468/superstore-dataset-final</w:t>
      </w:r>
    </w:p>
    <w:p>
      <w:pPr>
        <w:spacing w:after="80" w:line="276" w:lineRule="auto"/>
      </w:pPr>
      <w:r>
        <w:rPr>
          <w:rFonts w:ascii="Calibri" w:hAnsi="Calibri"/>
          <w:color w:val="2B2D42"/>
          <w:sz w:val="22"/>
        </w:rPr>
        <w:t>4. R Core Team. (2026). R: A Language and Environment for Statistical Computing. R Foundation for Statistical Computing, Vienna, Austria. https://www.R-project.org/</w:t>
      </w:r>
    </w:p>
    <w:p>
      <w:pPr>
        <w:spacing w:after="80" w:line="276" w:lineRule="auto"/>
      </w:pPr>
      <w:r>
        <w:rPr>
          <w:rFonts w:ascii="Calibri" w:hAnsi="Calibri"/>
          <w:color w:val="2B2D42"/>
          <w:sz w:val="22"/>
        </w:rPr>
        <w:t>5. Tufte, E. R. (2001). The Visual Display of Quantitative Information (2nd ed.). Graphics Press, Cheshire, Connecticut.</w:t>
      </w:r>
    </w:p>
    <w:p>
      <w:pPr>
        <w:spacing w:after="80" w:line="276" w:lineRule="auto"/>
      </w:pPr>
      <w:r>
        <w:rPr>
          <w:rFonts w:ascii="Calibri" w:hAnsi="Calibri"/>
          <w:color w:val="2B2D42"/>
          <w:sz w:val="22"/>
        </w:rPr>
        <w:t>6. Wickham, H. (2016). ggplot2: Elegant Graphics for Data Analysis. Springer-Verlag New York. https://ggplot2.tidyverse.org</w:t>
      </w:r>
    </w:p>
    <w:p>
      <w:pPr>
        <w:spacing w:after="80" w:line="276" w:lineRule="auto"/>
      </w:pPr>
      <w:r>
        <w:rPr>
          <w:rFonts w:ascii="Calibri" w:hAnsi="Calibri"/>
          <w:color w:val="2B2D42"/>
          <w:sz w:val="22"/>
        </w:rPr>
        <w:t>7. Wilke, C. O. (2019). Fundamentals of Data Visualization: A Primer on Making Informative and Compelling Figures. O'Reilly Media.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C757D"/>
        <w:sz w:val="17"/>
      </w:rPr>
      <w:t xml:space="preserve">Week 2 Technical Report: Data Visualization Using R | Page </w:t>
    </w:r>
    <w:fldSimple w:instr="PAGE"/>
    <w:r>
      <w:rPr>
        <w:rFonts w:ascii="Calibri" w:hAnsi="Calibri"/>
        <w:color w:val="6C757D"/>
        <w:sz w:val="17"/>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B2D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