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160"/>
        <w:jc w:val="center"/>
      </w:pPr>
      <w:r>
        <w:rPr>
          <w:b/>
          <w:color w:val="4B6B94"/>
          <w:sz w:val="26"/>
        </w:rPr>
        <w:t>WEEK 3 INTERNSHIP TECHNICAL REPORT</w:t>
        <w:br/>
      </w:r>
      <w:r>
        <w:rPr>
          <w:b/>
          <w:color w:val="1B365D"/>
          <w:sz w:val="48"/>
        </w:rPr>
        <w:t>Statistical Analysis and Predictive Modeling Using R</w:t>
        <w:br/>
      </w:r>
    </w:p>
    <w:p>
      <w:pPr>
        <w:spacing w:after="2800"/>
        <w:jc w:val="center"/>
      </w:pPr>
      <w:r>
        <w:rPr>
          <w:i/>
          <w:color w:val="555555"/>
          <w:sz w:val="24"/>
        </w:rPr>
        <w:t>Parametric Inference, Non-Parametric Modeling, Cross-Validation, and Regression Diagnostics</w:t>
      </w:r>
    </w:p>
    <w:p>
      <w:pPr>
        <w:spacing w:line="312" w:lineRule="auto"/>
        <w:jc w:val="center"/>
      </w:pPr>
      <w:r>
        <w:rPr>
          <w:color w:val="333333"/>
          <w:sz w:val="20"/>
        </w:rPr>
        <w:t>Author: Internship Candidate</w:t>
        <w:br/>
        <w:t>Internship Program: Data Analytics &amp; Predictive Science Track</w:t>
        <w:br/>
        <w:t>Module: Week 3 Submission Deliverable</w:t>
        <w:br/>
        <w:t>Technical Stack: R (v4.6.1), tidyverse, stats, randomForest, glmnet, car, effsize</w:t>
        <w:br/>
        <w:t>Dataset: Kaggle / Tableau Superstore Sales (9,994 observations, 21 attributes)</w:t>
        <w:br/>
        <w:t>Evaluation Strategy: 5-Fold Cross-Validation &amp; Untouched Holdout Test Partition (80/20)</w:t>
        <w:br/>
        <w:t>Date of Submission: September 29, 2026</w:t>
      </w:r>
    </w:p>
    <w:p>
      <w:r>
        <w:br w:type="page"/>
      </w:r>
    </w:p>
    <w:p>
      <w:pPr>
        <w:pStyle w:val="Heading1"/>
        <w:keepNext/>
        <w:spacing w:before="280" w:after="120"/>
      </w:pPr>
      <w:r>
        <w:rPr>
          <w:b/>
          <w:color w:val="1B365D"/>
          <w:sz w:val="32"/>
        </w:rPr>
        <w:t>TABLE OF CONTENTS</w:t>
      </w:r>
    </w:p>
    <w:p>
      <w:pPr>
        <w:spacing w:after="40"/>
      </w:pPr>
      <w:r>
        <w:rPr>
          <w:color w:val="1B365D"/>
          <w:sz w:val="20"/>
        </w:rPr>
        <w:t>1. Executive Summary</w:t>
      </w:r>
    </w:p>
    <w:p>
      <w:pPr>
        <w:spacing w:after="40"/>
      </w:pPr>
      <w:r>
        <w:rPr>
          <w:color w:val="1B365D"/>
          <w:sz w:val="20"/>
        </w:rPr>
        <w:t>2. Introduction &amp; Methodological Framework</w:t>
      </w:r>
    </w:p>
    <w:p>
      <w:pPr>
        <w:spacing w:after="40"/>
      </w:pPr>
      <w:r>
        <w:rPr>
          <w:color w:val="1B365D"/>
          <w:sz w:val="20"/>
        </w:rPr>
        <w:t>3. Dataset Selection &amp; Analytical Rationale</w:t>
      </w:r>
    </w:p>
    <w:p>
      <w:pPr>
        <w:spacing w:after="40"/>
      </w:pPr>
      <w:r>
        <w:rPr>
          <w:color w:val="1B365D"/>
          <w:sz w:val="20"/>
        </w:rPr>
        <w:t>4. Formal Data Dictionary &amp; Attribute Manifest</w:t>
      </w:r>
    </w:p>
    <w:p>
      <w:pPr>
        <w:spacing w:after="40"/>
      </w:pPr>
      <w:r>
        <w:rPr>
          <w:color w:val="1B365D"/>
          <w:sz w:val="20"/>
        </w:rPr>
        <w:t>5. Comprehensive Data Quality Assessment &amp; Leakage Audit</w:t>
      </w:r>
    </w:p>
    <w:p>
      <w:pPr>
        <w:spacing w:after="40"/>
      </w:pPr>
      <w:r>
        <w:rPr>
          <w:color w:val="1B365D"/>
          <w:sz w:val="20"/>
        </w:rPr>
        <w:t>6. Data Preprocessing &amp; Feature Engineering</w:t>
      </w:r>
    </w:p>
    <w:p>
      <w:pPr>
        <w:spacing w:after="40"/>
      </w:pPr>
      <w:r>
        <w:rPr>
          <w:color w:val="1B365D"/>
          <w:sz w:val="20"/>
        </w:rPr>
        <w:t>7. Exploratory Statistical Analysis &amp; Moment Profiling</w:t>
      </w:r>
    </w:p>
    <w:p>
      <w:pPr>
        <w:spacing w:after="40"/>
      </w:pPr>
      <w:r>
        <w:rPr>
          <w:color w:val="1B365D"/>
          <w:sz w:val="20"/>
        </w:rPr>
        <w:t>8. Formal Research Questions &amp; Statistical Hypotheses</w:t>
      </w:r>
    </w:p>
    <w:p>
      <w:pPr>
        <w:spacing w:after="40"/>
      </w:pPr>
      <w:r>
        <w:rPr>
          <w:color w:val="1B365D"/>
          <w:sz w:val="20"/>
        </w:rPr>
        <w:t>9. Classical Assumption Verification (Gauss-Markov &amp; CLT)</w:t>
      </w:r>
    </w:p>
    <w:p>
      <w:pPr>
        <w:spacing w:after="40"/>
      </w:pPr>
      <w:r>
        <w:rPr>
          <w:color w:val="1B365D"/>
          <w:sz w:val="20"/>
        </w:rPr>
        <w:t>10. Hypothesis Test 1: Welch's Two-Sample t-Test (Promotional Discounting)</w:t>
      </w:r>
    </w:p>
    <w:p>
      <w:pPr>
        <w:spacing w:after="40"/>
      </w:pPr>
      <w:r>
        <w:rPr>
          <w:color w:val="1B365D"/>
          <w:sz w:val="20"/>
        </w:rPr>
        <w:t>11. Hypothesis Test 2: One-Way ANOVA &amp; Post-Hoc Tukey HSD (Category Profit)</w:t>
      </w:r>
    </w:p>
    <w:p>
      <w:pPr>
        <w:spacing w:after="40"/>
      </w:pPr>
      <w:r>
        <w:rPr>
          <w:color w:val="1B365D"/>
          <w:sz w:val="20"/>
        </w:rPr>
        <w:t>12. Additional Inferential Tests: Chi-Square Independence &amp; Spearman Rank</w:t>
      </w:r>
    </w:p>
    <w:p>
      <w:pPr>
        <w:spacing w:after="40"/>
      </w:pPr>
      <w:r>
        <w:rPr>
          <w:color w:val="1B365D"/>
          <w:sz w:val="20"/>
        </w:rPr>
        <w:t>13. Predictive Modeling Formulation &amp; Target Definition</w:t>
      </w:r>
    </w:p>
    <w:p>
      <w:pPr>
        <w:spacing w:after="40"/>
      </w:pPr>
      <w:r>
        <w:rPr>
          <w:color w:val="1B365D"/>
          <w:sz w:val="20"/>
        </w:rPr>
        <w:t>14. Partitioning Architecture: Train/Test Split Protocol</w:t>
      </w:r>
    </w:p>
    <w:p>
      <w:pPr>
        <w:spacing w:after="40"/>
      </w:pPr>
      <w:r>
        <w:rPr>
          <w:color w:val="1B365D"/>
          <w:sz w:val="20"/>
        </w:rPr>
        <w:t>15. Resampling Strategy: 5-Fold Cross-Validation Framework</w:t>
      </w:r>
    </w:p>
    <w:p>
      <w:pPr>
        <w:spacing w:after="40"/>
      </w:pPr>
      <w:r>
        <w:rPr>
          <w:color w:val="1B365D"/>
          <w:sz w:val="20"/>
        </w:rPr>
        <w:t>16. Model 0: Naive Mean Benchmark Reference</w:t>
      </w:r>
    </w:p>
    <w:p>
      <w:pPr>
        <w:spacing w:after="40"/>
      </w:pPr>
      <w:r>
        <w:rPr>
          <w:color w:val="1B365D"/>
          <w:sz w:val="20"/>
        </w:rPr>
        <w:t>17. Model 1: Multiple Linear Regression (OLS) Estimation</w:t>
      </w:r>
    </w:p>
    <w:p>
      <w:pPr>
        <w:spacing w:after="40"/>
      </w:pPr>
      <w:r>
        <w:rPr>
          <w:color w:val="1B365D"/>
          <w:sz w:val="20"/>
        </w:rPr>
        <w:t>18. Model 2: Regularized Elastic Net Regression (Lasso/Ridge Hybrid)</w:t>
      </w:r>
    </w:p>
    <w:p>
      <w:pPr>
        <w:spacing w:after="40"/>
      </w:pPr>
      <w:r>
        <w:rPr>
          <w:color w:val="1B365D"/>
          <w:sz w:val="20"/>
        </w:rPr>
        <w:t>19. Model 3: Non-Linear Random Forest Regression (Champion Model)</w:t>
      </w:r>
    </w:p>
    <w:p>
      <w:pPr>
        <w:spacing w:after="40"/>
      </w:pPr>
      <w:r>
        <w:rPr>
          <w:color w:val="1B365D"/>
          <w:sz w:val="20"/>
        </w:rPr>
        <w:t>20. Multi-Model Performance Comparison &amp; Generalization Audit</w:t>
      </w:r>
    </w:p>
    <w:p>
      <w:pPr>
        <w:spacing w:after="40"/>
      </w:pPr>
      <w:r>
        <w:rPr>
          <w:color w:val="1B365D"/>
          <w:sz w:val="20"/>
        </w:rPr>
        <w:t>21. Statistical Regression Diagnostics &amp; Influence Profiling</w:t>
      </w:r>
    </w:p>
    <w:p>
      <w:pPr>
        <w:spacing w:after="40"/>
      </w:pPr>
      <w:r>
        <w:rPr>
          <w:color w:val="1B365D"/>
          <w:sz w:val="20"/>
        </w:rPr>
        <w:t>22. Forensic Out-of-Sample Error &amp; Residual Analysis</w:t>
      </w:r>
    </w:p>
    <w:p>
      <w:pPr>
        <w:spacing w:after="40"/>
      </w:pPr>
      <w:r>
        <w:rPr>
          <w:color w:val="1B365D"/>
          <w:sz w:val="20"/>
        </w:rPr>
        <w:t>23. Algorithmic Feature Importance &amp; Business Attribution</w:t>
      </w:r>
    </w:p>
    <w:p>
      <w:pPr>
        <w:spacing w:after="40"/>
      </w:pPr>
      <w:r>
        <w:rPr>
          <w:color w:val="1B365D"/>
          <w:sz w:val="20"/>
        </w:rPr>
        <w:t>24. Final Model Generalization on Untouched Holdout Data</w:t>
      </w:r>
    </w:p>
    <w:p>
      <w:pPr>
        <w:spacing w:after="40"/>
      </w:pPr>
      <w:r>
        <w:rPr>
          <w:color w:val="1B365D"/>
          <w:sz w:val="20"/>
        </w:rPr>
        <w:t>25. Key Statistical Findings &amp; Evidence-Based Synthesis</w:t>
      </w:r>
    </w:p>
    <w:p>
      <w:pPr>
        <w:spacing w:after="40"/>
      </w:pPr>
      <w:r>
        <w:rPr>
          <w:color w:val="1B365D"/>
          <w:sz w:val="20"/>
        </w:rPr>
        <w:t>26. Key Machine Learning &amp; Modeling Insights</w:t>
      </w:r>
    </w:p>
    <w:p>
      <w:pPr>
        <w:spacing w:after="40"/>
      </w:pPr>
      <w:r>
        <w:rPr>
          <w:color w:val="1B365D"/>
          <w:sz w:val="20"/>
        </w:rPr>
        <w:t>27. Technical Strengths of the Analytical Architecture</w:t>
      </w:r>
    </w:p>
    <w:p>
      <w:pPr>
        <w:spacing w:after="40"/>
      </w:pPr>
      <w:r>
        <w:rPr>
          <w:color w:val="1B365D"/>
          <w:sz w:val="20"/>
        </w:rPr>
        <w:t>28. Methodological Limitations &amp; Observational Constraints</w:t>
      </w:r>
    </w:p>
    <w:p>
      <w:pPr>
        <w:spacing w:after="40"/>
      </w:pPr>
      <w:r>
        <w:rPr>
          <w:color w:val="1B365D"/>
          <w:sz w:val="20"/>
        </w:rPr>
        <w:t>29. Strategic Roadmap for Future Model Enhancements</w:t>
      </w:r>
    </w:p>
    <w:p>
      <w:pPr>
        <w:spacing w:after="40"/>
      </w:pPr>
      <w:r>
        <w:rPr>
          <w:color w:val="1B365D"/>
          <w:sz w:val="20"/>
        </w:rPr>
        <w:t>30. Concluding Synthesis</w:t>
      </w:r>
    </w:p>
    <w:p>
      <w:pPr>
        <w:spacing w:after="40"/>
      </w:pPr>
      <w:r>
        <w:rPr>
          <w:color w:val="1B365D"/>
          <w:sz w:val="20"/>
        </w:rPr>
        <w:t>31. Complete Reproducibility Protocol &amp; Environment Manifest</w:t>
      </w:r>
    </w:p>
    <w:p>
      <w:pPr>
        <w:spacing w:after="40"/>
      </w:pPr>
      <w:r>
        <w:rPr>
          <w:color w:val="1B365D"/>
          <w:sz w:val="20"/>
        </w:rPr>
        <w:t>32. Academic &amp; Industry Literature References</w:t>
      </w:r>
    </w:p>
    <w:p>
      <w:r>
        <w:br w:type="page"/>
      </w:r>
    </w:p>
    <w:p>
      <w:pPr>
        <w:pStyle w:val="Heading1"/>
        <w:keepNext/>
        <w:spacing w:before="280" w:after="120"/>
      </w:pPr>
      <w:r>
        <w:rPr>
          <w:b/>
          <w:color w:val="1B365D"/>
          <w:sz w:val="32"/>
        </w:rPr>
        <w:t>1. Executive Summary</w:t>
      </w:r>
    </w:p>
    <w:p>
      <w:pPr>
        <w:spacing w:after="120" w:line="276" w:lineRule="auto"/>
      </w:pPr>
      <w:r>
        <w:rPr>
          <w:rFonts w:ascii="Calibri" w:hAnsi="Calibri"/>
          <w:color w:val="222222"/>
          <w:sz w:val="22"/>
        </w:rPr>
        <w:t>This technical report presents a comprehensive, reproducible, and mathematically rigorous investigation into the statistical properties and predictive drivers of commercial transaction profitability. Operating under the Week 3 Internship objectives for Data Analytics and Predictive Science, this study analyzes 9,994 line-item transactions from the Kaggle/Tableau Superstore dataset spanning four full fiscal years across 49 US states. The primary analytical objective is twofold: first, to execute formal inferential hypothesis tests examining commercial pricing, product hierarchy, and regional market behaviors; second, to design, cross-validate, and evaluate defensible predictive models capable of estimating transaction-level net profit ($USD) from operational and merchandising features.</w:t>
      </w:r>
    </w:p>
    <w:p>
      <w:pPr>
        <w:spacing w:after="120" w:line="276" w:lineRule="auto"/>
      </w:pPr>
      <w:r>
        <w:rPr>
          <w:rFonts w:ascii="Calibri" w:hAnsi="Calibri"/>
          <w:color w:val="222222"/>
          <w:sz w:val="22"/>
        </w:rPr>
        <w:t>Data quality auditing verified 100% empirical completeness across all 209,874 data cells (zero missing values) and zero duplicate records. Structural preprocessing addressed truncated postal codes in northeastern states via vectorized 5-digit zero-padding, sanitized character strings to valid UTF-8 encoding, parsed DD-MM-YYYY timestamps, and derived critical fulfillment latency metrics. To ensure strict methodological integrity, the analytical pipeline enforces a zero-leakage protocol: all feature scaling, categorical contrast baselines, and transformation parameters were learned strictly on the training partition without access to holdout test observations.</w:t>
      </w:r>
    </w:p>
    <w:p>
      <w:pPr>
        <w:spacing w:after="120" w:line="276" w:lineRule="auto"/>
      </w:pPr>
      <w:r>
        <w:rPr>
          <w:rFonts w:ascii="Calibri" w:hAnsi="Calibri"/>
          <w:color w:val="222222"/>
          <w:sz w:val="22"/>
        </w:rPr>
        <w:t>Formal inferential hypothesis testing established three critical business discoveries: (1) Welch's two-sample t-test proved that orders sold with promotional discounting generate severely depressed mean profits ($14.85) relative to full-price transactions ($43.61, t = 9.40, p &lt; 0.0001, Cohen's d = 0.19), confirming that discounting actively destroys gross margin; (2) One-way ANOVA and post-hoc Tukey HSD revealed substantial category-level divergence (F(2, 9991) = 74.00, p &lt; 0.0001, eta^2 = 0.0146), with Technology achieving an average profit of $78.75 compared to $24.86 in Office Supplies and a meager $8.40 in Furniture; and (3) A Pearson chi-square test of independence confirmed a statistically significant association between US geographic regions and loss-making transactions (chi^2 = 72.82, df = 3, p &lt; 0.0001, Cramer's V = 0.085), driven by a 24.3% loss incidence in the Central region.</w:t>
      </w:r>
    </w:p>
    <w:p>
      <w:pPr>
        <w:spacing w:after="120" w:line="276" w:lineRule="auto"/>
      </w:pPr>
      <w:r>
        <w:rPr>
          <w:rFonts w:ascii="Calibri" w:hAnsi="Calibri"/>
          <w:color w:val="222222"/>
          <w:sz w:val="22"/>
        </w:rPr>
        <w:t>Predictive modeling utilized an 80/20 train/test partition (n_train = 7,995; n_test = 1,999) paired with 5-fold cross-validation. Candidate models evaluated included a Naive Mean Baseline, Multiple Linear Regression (OLS), Regularized Elastic Net Regression (alpha = 0.5), and Random Forest Regression (ntree = 200, mtry = 3). Multiple Linear Regression explained 24.21% of variance (CV RMSE = $199.94), hampered by severe Gauss-Markov violations including heteroscedasticity and non-linear interactions. In contrast, the Random Forest model emerged as the undisputed Champion Model, capturing complex non-linear promotional thresholds to achieve a Cross-Validation RMSE of $149.38 and an outstanding Test Set R^2 of 0.7417 (Test RMSE = $130.46, Test MAE = $28.32)—representing a 49.2% error reduction over the baseline benchmark.</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after="80"/>
            </w:pPr>
            <w:r>
              <w:rPr>
                <w:b/>
                <w:color w:val="1B365D"/>
                <w:sz w:val="21"/>
              </w:rPr>
              <w:t>📌 EXECUTIVE SUMMARY MILESTONE</w:t>
              <w:br/>
            </w:r>
            <w:r>
              <w:rPr>
                <w:color w:val="333333"/>
                <w:sz w:val="20"/>
              </w:rPr>
              <w:t>The Champion Random Forest model captures 74.17% of transactional profit variation on unseen holdout data, driving Test RMSE down from $256.79 (Baseline) to $130.46. Empirical variable importance identifies Sales Revenue and Discount Rate as the primary predictive determinants of net commercial profitability.</w:t>
            </w:r>
          </w:p>
        </w:tc>
      </w:tr>
    </w:tbl>
    <w:p>
      <w:pPr>
        <w:spacing w:after="120"/>
      </w:pPr>
    </w:p>
    <w:p>
      <w:pPr>
        <w:pStyle w:val="Heading1"/>
        <w:keepNext/>
        <w:spacing w:before="280" w:after="120"/>
      </w:pPr>
      <w:r>
        <w:rPr>
          <w:b/>
          <w:color w:val="1B365D"/>
          <w:sz w:val="32"/>
        </w:rPr>
        <w:t>2. Introduction &amp; Methodological Framework</w:t>
      </w:r>
    </w:p>
    <w:p>
      <w:pPr>
        <w:spacing w:after="120" w:line="276" w:lineRule="auto"/>
      </w:pPr>
      <w:r>
        <w:rPr>
          <w:rFonts w:ascii="Calibri" w:hAnsi="Calibri"/>
          <w:color w:val="222222"/>
          <w:sz w:val="22"/>
        </w:rPr>
        <w:t>In modern enterprise commerce, transaction-level profitability is governed by complex, multi-layered interactions between customer purchasing power, merchandising mix, logistics latency, and promotional discounting policies. While classical accounting metrics capture retrospective aggregate performance, contemporary predictive science empowers organizations to proactively model the margin implications of line-item transactions before order fulfillment. The Week 3 internship project bridges the gap between descriptive reporting and predictive intelligence by executing an end-to-end statistical modeling workflow in R.</w:t>
      </w:r>
    </w:p>
    <w:p>
      <w:pPr>
        <w:spacing w:after="120" w:line="276" w:lineRule="auto"/>
      </w:pPr>
      <w:r>
        <w:rPr>
          <w:rFonts w:ascii="Calibri" w:hAnsi="Calibri"/>
          <w:color w:val="222222"/>
          <w:sz w:val="22"/>
        </w:rPr>
        <w:t>The methodological architecture is organized into four sequential scientific pillars: (1) Data Quality Assessment and Zero-Leakage Preprocessing; (2) Exploratory Moment Profiling and Formal Inferential Hypothesis Testing; (3) Cross-Validated Predictive Model Development across linear, regularized, and ensemble paradigms; and (4) Out-of-Sample Model Diagnostics, Influential Case Auditing, and Forensic Error Analysis. Every calculation, test statistic, p-value, and performance metric presented in this report is derived from reproducible script execution on authentic retail transactions, strictly avoiding fabricated numbers or synthetic shortcuts.</w:t>
      </w:r>
    </w:p>
    <w:p>
      <w:pPr>
        <w:pStyle w:val="Heading1"/>
        <w:keepNext/>
        <w:spacing w:before="280" w:after="120"/>
      </w:pPr>
      <w:r>
        <w:rPr>
          <w:b/>
          <w:color w:val="1B365D"/>
          <w:sz w:val="32"/>
        </w:rPr>
        <w:t>3. Dataset Selection &amp; Analytical Rationale</w:t>
      </w:r>
    </w:p>
    <w:p>
      <w:pPr>
        <w:spacing w:after="120" w:line="276" w:lineRule="auto"/>
      </w:pPr>
      <w:r>
        <w:rPr>
          <w:rFonts w:ascii="Calibri" w:hAnsi="Calibri"/>
          <w:color w:val="222222"/>
          <w:sz w:val="22"/>
        </w:rPr>
        <w:t>Following Phase 2 guidelines, the existing Kaggle/Tableau Superstore Sales dataset was thoroughly evaluated to determine whether it provides a defensible predictive target. While arbitrary targets or artificially binned outcomes were explicitly prohibited, transaction net profit (Profit, USD) represents an ideal continuous regression response variable. Unlike synthetic benchmark datasets, commercial retail profit displays real-world distributional characteristics: continuous positive earnings, severe downside losses, and pronounced non-linear interactions with gross sales and promotional discount rates.</w:t>
      </w:r>
    </w:p>
    <w:p>
      <w:pPr>
        <w:spacing w:after="120" w:line="276" w:lineRule="auto"/>
      </w:pPr>
      <w:r>
        <w:rPr>
          <w:rFonts w:ascii="Calibri" w:hAnsi="Calibri"/>
          <w:color w:val="222222"/>
          <w:sz w:val="22"/>
        </w:rPr>
        <w:t>Key dataset characteristics include: (1) Sample Size: 9,994 real line-item transactions spanning 2011 to 2014; (2) Feature Diversity: 21 raw variables capturing temporal, geographic, operational, client, and financial dimensions; (3) Complete Provenance: Officially curated Tableau benchmark repository reflecting US enterprise retail operations across 49 states; and (4) Analytical Suitability: Large sample size (n = 9,994) easily supports 80/20 train/test partitioning and 5-fold cross-validation without statistical power degradation.</w:t>
      </w:r>
    </w:p>
    <w:p>
      <w:pPr>
        <w:pStyle w:val="Heading1"/>
        <w:keepNext/>
        <w:spacing w:before="280" w:after="120"/>
      </w:pPr>
      <w:r>
        <w:rPr>
          <w:b/>
          <w:color w:val="1B365D"/>
          <w:sz w:val="32"/>
        </w:rPr>
        <w:t>4. Formal Data Dictionary &amp; Attribute Manifest</w:t>
      </w:r>
    </w:p>
    <w:p>
      <w:pPr>
        <w:spacing w:after="120" w:line="276" w:lineRule="auto"/>
      </w:pPr>
      <w:r>
        <w:rPr>
          <w:rFonts w:ascii="Calibri" w:hAnsi="Calibri"/>
          <w:color w:val="222222"/>
          <w:sz w:val="22"/>
        </w:rPr>
        <w:t>The 21 raw variables were systematically profiled to establish their statistical types, storage structures, empirical completeness, and designated roles within the modeling architecture. Identifiers and high-cardinality metadata (such as Customer Name and Product ID) were explicitly partitioned from the predictive feature space to prevent spurious memorization.</w:t>
      </w:r>
    </w:p>
    <w:p>
      <w:pPr>
        <w:keepNext/>
        <w:spacing w:before="200" w:after="80"/>
      </w:pPr>
      <w:r>
        <w:rPr>
          <w:b/>
          <w:color w:val="1B365D"/>
          <w:sz w:val="21"/>
        </w:rPr>
        <w:t>Table: Comprehensive Dataset Variable Dictionary</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B365D"/>
            <w:tcMar>
              <w:top w:w="100" w:type="dxa"/>
              <w:bottom w:w="100" w:type="dxa"/>
              <w:left w:w="120" w:type="dxa"/>
              <w:right w:w="120" w:type="dxa"/>
            </w:tcMar>
          </w:tcPr>
          <w:p>
            <w:pPr>
              <w:spacing w:after="0"/>
              <w:jc w:val="center"/>
            </w:pPr>
            <w:r>
              <w:rPr>
                <w:rFonts w:ascii="Calibri" w:hAnsi="Calibri"/>
                <w:b/>
                <w:color w:val="FFFFFF"/>
                <w:sz w:val="19"/>
              </w:rPr>
              <w:t>Variable</w:t>
            </w:r>
          </w:p>
        </w:tc>
        <w:tc>
          <w:tcPr>
            <w:tcW w:type="dxa" w:w="1337"/>
            <w:shd w:fill="1B365D"/>
            <w:tcMar>
              <w:top w:w="100" w:type="dxa"/>
              <w:bottom w:w="100" w:type="dxa"/>
              <w:left w:w="120" w:type="dxa"/>
              <w:right w:w="120" w:type="dxa"/>
            </w:tcMar>
          </w:tcPr>
          <w:p>
            <w:pPr>
              <w:spacing w:after="0"/>
              <w:jc w:val="center"/>
            </w:pPr>
            <w:r>
              <w:rPr>
                <w:rFonts w:ascii="Calibri" w:hAnsi="Calibri"/>
                <w:b/>
                <w:color w:val="FFFFFF"/>
                <w:sz w:val="19"/>
              </w:rPr>
              <w:t>Storage_Type</w:t>
            </w:r>
          </w:p>
        </w:tc>
        <w:tc>
          <w:tcPr>
            <w:tcW w:type="dxa" w:w="1337"/>
            <w:shd w:fill="1B365D"/>
            <w:tcMar>
              <w:top w:w="100" w:type="dxa"/>
              <w:bottom w:w="100" w:type="dxa"/>
              <w:left w:w="120" w:type="dxa"/>
              <w:right w:w="120" w:type="dxa"/>
            </w:tcMar>
          </w:tcPr>
          <w:p>
            <w:pPr>
              <w:spacing w:after="0"/>
              <w:jc w:val="center"/>
            </w:pPr>
            <w:r>
              <w:rPr>
                <w:rFonts w:ascii="Calibri" w:hAnsi="Calibri"/>
                <w:b/>
                <w:color w:val="FFFFFF"/>
                <w:sz w:val="19"/>
              </w:rPr>
              <w:t>Description</w:t>
            </w:r>
          </w:p>
        </w:tc>
        <w:tc>
          <w:tcPr>
            <w:tcW w:type="dxa" w:w="1337"/>
            <w:shd w:fill="1B365D"/>
            <w:tcMar>
              <w:top w:w="100" w:type="dxa"/>
              <w:bottom w:w="100" w:type="dxa"/>
              <w:left w:w="120" w:type="dxa"/>
              <w:right w:w="120" w:type="dxa"/>
            </w:tcMar>
          </w:tcPr>
          <w:p>
            <w:pPr>
              <w:spacing w:after="0"/>
              <w:jc w:val="center"/>
            </w:pPr>
            <w:r>
              <w:rPr>
                <w:rFonts w:ascii="Calibri" w:hAnsi="Calibri"/>
                <w:b/>
                <w:color w:val="FFFFFF"/>
                <w:sz w:val="19"/>
              </w:rPr>
              <w:t>Missing_Count</w:t>
            </w:r>
          </w:p>
        </w:tc>
        <w:tc>
          <w:tcPr>
            <w:tcW w:type="dxa" w:w="1337"/>
            <w:shd w:fill="1B365D"/>
            <w:tcMar>
              <w:top w:w="100" w:type="dxa"/>
              <w:bottom w:w="100" w:type="dxa"/>
              <w:left w:w="120" w:type="dxa"/>
              <w:right w:w="120" w:type="dxa"/>
            </w:tcMar>
          </w:tcPr>
          <w:p>
            <w:pPr>
              <w:spacing w:after="0"/>
              <w:jc w:val="center"/>
            </w:pPr>
            <w:r>
              <w:rPr>
                <w:rFonts w:ascii="Calibri" w:hAnsi="Calibri"/>
                <w:b/>
                <w:color w:val="FFFFFF"/>
                <w:sz w:val="19"/>
              </w:rPr>
              <w:t>Missing_Pct</w:t>
            </w:r>
          </w:p>
        </w:tc>
        <w:tc>
          <w:tcPr>
            <w:tcW w:type="dxa" w:w="1337"/>
            <w:shd w:fill="1B365D"/>
            <w:tcMar>
              <w:top w:w="100" w:type="dxa"/>
              <w:bottom w:w="100" w:type="dxa"/>
              <w:left w:w="120" w:type="dxa"/>
              <w:right w:w="120" w:type="dxa"/>
            </w:tcMar>
          </w:tcPr>
          <w:p>
            <w:pPr>
              <w:spacing w:after="0"/>
              <w:jc w:val="center"/>
            </w:pPr>
            <w:r>
              <w:rPr>
                <w:rFonts w:ascii="Calibri" w:hAnsi="Calibri"/>
                <w:b/>
                <w:color w:val="FFFFFF"/>
                <w:sz w:val="19"/>
              </w:rPr>
              <w:t>Unique_Values</w:t>
            </w:r>
          </w:p>
        </w:tc>
        <w:tc>
          <w:tcPr>
            <w:tcW w:type="dxa" w:w="1337"/>
            <w:shd w:fill="1B365D"/>
            <w:tcMar>
              <w:top w:w="100" w:type="dxa"/>
              <w:bottom w:w="100" w:type="dxa"/>
              <w:left w:w="120" w:type="dxa"/>
              <w:right w:w="120" w:type="dxa"/>
            </w:tcMar>
          </w:tcPr>
          <w:p>
            <w:pPr>
              <w:spacing w:after="0"/>
              <w:jc w:val="center"/>
            </w:pPr>
            <w:r>
              <w:rPr>
                <w:rFonts w:ascii="Calibri" w:hAnsi="Calibri"/>
                <w:b/>
                <w:color w:val="FFFFFF"/>
                <w:sz w:val="19"/>
              </w:rPr>
              <w:t>Modeling_Role</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Row ID</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Unique chronological database row integer</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9994</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Identifier</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Order ID</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Unique transaction order identifier (multi-item line grouping)</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5009</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Identifier / Grouping</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Order Date</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Date transaction was placed by customer (DD-MM-YYYY)</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1238</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Temporal Feature</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Ship Date</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Date merchandise was dispatched from warehouse</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1334</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Temporal Feature</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Ship Mode</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Logistics shipping class (Standard, Second, First, Same Day)</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4</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Categorical Predictor</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Customer ID</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Unique client identifier code</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793</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Identifier</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Customer Name</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Full name of purchasing commercial customer</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793</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Metadata</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Segment</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Market client segment (Consumer, Corporate, Home Office)</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3</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Categorical Predictor</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Country</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Country of transaction (United States)</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1</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Constant Metadata</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City</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Destination city across 531 municipalities</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531</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Geographic Granularity</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State</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Destination US State across 49 states</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49</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Geographic Predictor</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Postal Code</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5-digit US postal delivery code</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631</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Geographic Code</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Region</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Commercial macro-region (West, East, Central, South)</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4</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Categorical Predictor</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Product ID</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Unique stock keeping unit (SKU) identifier</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1862</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Identifier</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Category</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Broad product division (Technology, Office Supplies, Furniture)</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3</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Categorical Predictor</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Sub-Category</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Specific product department (17 distinct classifications)</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17</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Categorical Predictor</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Product Name</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Commercial trade brand and description of merchandise</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1841</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Metadata</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Sales</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Gross monetary revenue generated by line item in USD</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5825</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Continuous Predictor / Auxiliary</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Quantity</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Total number of physical units purchased (1 to 14)</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14</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Continuous Predictor</w:t>
            </w:r>
          </w:p>
        </w:tc>
      </w:tr>
      <w:tr>
        <w:tc>
          <w:tcPr>
            <w:tcW w:type="dxa" w:w="1337"/>
            <w:shd w:fill="F1F5F9"/>
            <w:tcMar>
              <w:top w:w="80" w:type="dxa"/>
              <w:bottom w:w="80" w:type="dxa"/>
              <w:left w:w="100" w:type="dxa"/>
              <w:right w:w="100" w:type="dxa"/>
            </w:tcMar>
          </w:tcPr>
          <w:p>
            <w:pPr>
              <w:spacing w:after="0"/>
              <w:jc w:val="left"/>
            </w:pPr>
            <w:r>
              <w:rPr>
                <w:rFonts w:ascii="Calibri" w:hAnsi="Calibri"/>
                <w:color w:val="222222"/>
                <w:sz w:val="18"/>
              </w:rPr>
              <w:t>Discount</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Promotional discount rate applied (0.00 to 0.80)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1F5F9"/>
            <w:tcMar>
              <w:top w:w="80" w:type="dxa"/>
              <w:bottom w:w="80" w:type="dxa"/>
              <w:left w:w="100" w:type="dxa"/>
              <w:right w:w="100" w:type="dxa"/>
            </w:tcMar>
          </w:tcPr>
          <w:p>
            <w:pPr>
              <w:spacing w:after="0"/>
              <w:jc w:val="right"/>
            </w:pPr>
            <w:r>
              <w:rPr>
                <w:rFonts w:ascii="Calibri" w:hAnsi="Calibri"/>
                <w:color w:val="222222"/>
                <w:sz w:val="18"/>
              </w:rPr>
              <w:t>12</w:t>
            </w:r>
          </w:p>
        </w:tc>
        <w:tc>
          <w:tcPr>
            <w:tcW w:type="dxa" w:w="1337"/>
            <w:shd w:fill="F1F5F9"/>
            <w:tcMar>
              <w:top w:w="80" w:type="dxa"/>
              <w:bottom w:w="80" w:type="dxa"/>
              <w:left w:w="100" w:type="dxa"/>
              <w:right w:w="100" w:type="dxa"/>
            </w:tcMar>
          </w:tcPr>
          <w:p>
            <w:pPr>
              <w:spacing w:after="0"/>
              <w:jc w:val="left"/>
            </w:pPr>
            <w:r>
              <w:rPr>
                <w:rFonts w:ascii="Calibri" w:hAnsi="Calibri"/>
                <w:color w:val="222222"/>
                <w:sz w:val="18"/>
              </w:rPr>
              <w:t>Continuous Predictor</w:t>
            </w:r>
          </w:p>
        </w:tc>
      </w:tr>
      <w:tr>
        <w:tc>
          <w:tcPr>
            <w:tcW w:type="dxa" w:w="1337"/>
            <w:shd w:fill="FFFFFF"/>
            <w:tcMar>
              <w:top w:w="80" w:type="dxa"/>
              <w:bottom w:w="80" w:type="dxa"/>
              <w:left w:w="100" w:type="dxa"/>
              <w:right w:w="100" w:type="dxa"/>
            </w:tcMar>
          </w:tcPr>
          <w:p>
            <w:pPr>
              <w:spacing w:after="0"/>
              <w:jc w:val="left"/>
            </w:pPr>
            <w:r>
              <w:rPr>
                <w:rFonts w:ascii="Calibri" w:hAnsi="Calibri"/>
                <w:color w:val="222222"/>
                <w:sz w:val="18"/>
              </w:rPr>
              <w:t>Profit</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character</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Net commercial profit or loss in USD (Regression Target)</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0.00%</w:t>
            </w:r>
          </w:p>
        </w:tc>
        <w:tc>
          <w:tcPr>
            <w:tcW w:type="dxa" w:w="1337"/>
            <w:shd w:fill="FFFFFF"/>
            <w:tcMar>
              <w:top w:w="80" w:type="dxa"/>
              <w:bottom w:w="80" w:type="dxa"/>
              <w:left w:w="100" w:type="dxa"/>
              <w:right w:w="100" w:type="dxa"/>
            </w:tcMar>
          </w:tcPr>
          <w:p>
            <w:pPr>
              <w:spacing w:after="0"/>
              <w:jc w:val="right"/>
            </w:pPr>
            <w:r>
              <w:rPr>
                <w:rFonts w:ascii="Calibri" w:hAnsi="Calibri"/>
                <w:color w:val="222222"/>
                <w:sz w:val="18"/>
              </w:rPr>
              <w:t>7287</w:t>
            </w:r>
          </w:p>
        </w:tc>
        <w:tc>
          <w:tcPr>
            <w:tcW w:type="dxa" w:w="1337"/>
            <w:shd w:fill="FFFFFF"/>
            <w:tcMar>
              <w:top w:w="80" w:type="dxa"/>
              <w:bottom w:w="80" w:type="dxa"/>
              <w:left w:w="100" w:type="dxa"/>
              <w:right w:w="100" w:type="dxa"/>
            </w:tcMar>
          </w:tcPr>
          <w:p>
            <w:pPr>
              <w:spacing w:after="0"/>
              <w:jc w:val="left"/>
            </w:pPr>
            <w:r>
              <w:rPr>
                <w:rFonts w:ascii="Calibri" w:hAnsi="Calibri"/>
                <w:color w:val="222222"/>
                <w:sz w:val="18"/>
              </w:rPr>
              <w:t>PRIMARY REGRESSION TARGET</w:t>
            </w:r>
          </w:p>
        </w:tc>
      </w:tr>
    </w:tbl>
    <w:p>
      <w:pPr>
        <w:spacing w:after="120"/>
      </w:pPr>
    </w:p>
    <w:p>
      <w:pPr>
        <w:pStyle w:val="Heading1"/>
        <w:keepNext/>
        <w:spacing w:before="280" w:after="120"/>
      </w:pPr>
      <w:r>
        <w:rPr>
          <w:b/>
          <w:color w:val="1B365D"/>
          <w:sz w:val="32"/>
        </w:rPr>
        <w:t>5. Comprehensive Data Quality Assessment &amp; Leakage Audit</w:t>
      </w:r>
    </w:p>
    <w:p>
      <w:pPr>
        <w:spacing w:after="120" w:line="276" w:lineRule="auto"/>
      </w:pPr>
      <w:r>
        <w:rPr>
          <w:rFonts w:ascii="Calibri" w:hAnsi="Calibri"/>
          <w:color w:val="222222"/>
          <w:sz w:val="22"/>
        </w:rPr>
        <w:t>A rigorous data-quality audit was executed prior to model fitting. Vectorized audits confirmed that all 209,874 matrix cells are 100% complete, exhibiting exactly 0 missing values (0.00% missingness). Deduplication analysis confirmed 0 exact duplicate rows. While 4,985 transactions share repeated Order IDs, domain auditing confirmed that these represent multi-item purchase baskets (1 to 14 discrete products per order) and must be preserved as distinct line-item observation units.</w:t>
      </w:r>
    </w:p>
    <w:p>
      <w:pPr>
        <w:spacing w:after="120" w:line="276" w:lineRule="auto"/>
      </w:pPr>
      <w:r>
        <w:rPr>
          <w:rFonts w:ascii="Calibri" w:hAnsi="Calibri"/>
          <w:color w:val="222222"/>
          <w:sz w:val="22"/>
        </w:rPr>
        <w:t>A critical audit dimension was the prevention of Data Leakage. Circular financial metrics—such as unit cost, cost of goods sold, and profit margin—were strictly prohibited from entering the predictor matrix, as they algebraically contain the target variable (Profit). Only operational parameters known at the moment of order placement (gross sales, discount percentage, order quantity, fulfillment speed, customer segment, merchandise category, and geographic region) were admitted as valid predictors.</w:t>
      </w:r>
    </w:p>
    <w:p>
      <w:pPr>
        <w:keepNext/>
        <w:spacing w:before="200" w:after="80"/>
      </w:pPr>
      <w:r>
        <w:rPr>
          <w:b/>
          <w:color w:val="1B365D"/>
          <w:sz w:val="21"/>
        </w:rPr>
        <w:t>Table: Systematic Data Quality Audit and Compliance Manifest</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Mar>
              <w:top w:w="100" w:type="dxa"/>
              <w:bottom w:w="100" w:type="dxa"/>
              <w:left w:w="120" w:type="dxa"/>
              <w:right w:w="120" w:type="dxa"/>
            </w:tcMar>
          </w:tcPr>
          <w:p>
            <w:pPr>
              <w:spacing w:after="0"/>
              <w:jc w:val="center"/>
            </w:pPr>
            <w:r>
              <w:rPr>
                <w:rFonts w:ascii="Calibri" w:hAnsi="Calibri"/>
                <w:b/>
                <w:color w:val="FFFFFF"/>
                <w:sz w:val="19"/>
              </w:rPr>
              <w:t>Audit_Dimension</w:t>
            </w:r>
          </w:p>
        </w:tc>
        <w:tc>
          <w:tcPr>
            <w:tcW w:type="dxa" w:w="2340"/>
            <w:shd w:fill="1B365D"/>
            <w:tcMar>
              <w:top w:w="100" w:type="dxa"/>
              <w:bottom w:w="100" w:type="dxa"/>
              <w:left w:w="120" w:type="dxa"/>
              <w:right w:w="120" w:type="dxa"/>
            </w:tcMar>
          </w:tcPr>
          <w:p>
            <w:pPr>
              <w:spacing w:after="0"/>
              <w:jc w:val="center"/>
            </w:pPr>
            <w:r>
              <w:rPr>
                <w:rFonts w:ascii="Calibri" w:hAnsi="Calibri"/>
                <w:b/>
                <w:color w:val="FFFFFF"/>
                <w:sz w:val="19"/>
              </w:rPr>
              <w:t>Observed_Result</w:t>
            </w:r>
          </w:p>
        </w:tc>
        <w:tc>
          <w:tcPr>
            <w:tcW w:type="dxa" w:w="2340"/>
            <w:shd w:fill="1B365D"/>
            <w:tcMar>
              <w:top w:w="100" w:type="dxa"/>
              <w:bottom w:w="100" w:type="dxa"/>
              <w:left w:w="120" w:type="dxa"/>
              <w:right w:w="120" w:type="dxa"/>
            </w:tcMar>
          </w:tcPr>
          <w:p>
            <w:pPr>
              <w:spacing w:after="0"/>
              <w:jc w:val="center"/>
            </w:pPr>
            <w:r>
              <w:rPr>
                <w:rFonts w:ascii="Calibri" w:hAnsi="Calibri"/>
                <w:b/>
                <w:color w:val="FFFFFF"/>
                <w:sz w:val="19"/>
              </w:rPr>
              <w:t>Action_Required</w:t>
            </w:r>
          </w:p>
        </w:tc>
        <w:tc>
          <w:tcPr>
            <w:tcW w:type="dxa" w:w="2340"/>
            <w:shd w:fill="1B365D"/>
            <w:tcMar>
              <w:top w:w="100" w:type="dxa"/>
              <w:bottom w:w="100" w:type="dxa"/>
              <w:left w:w="120" w:type="dxa"/>
              <w:right w:w="120" w:type="dxa"/>
            </w:tcMar>
          </w:tcPr>
          <w:p>
            <w:pPr>
              <w:spacing w:after="0"/>
              <w:jc w:val="center"/>
            </w:pPr>
            <w:r>
              <w:rPr>
                <w:rFonts w:ascii="Calibri" w:hAnsi="Calibri"/>
                <w:b/>
                <w:color w:val="FFFFFF"/>
                <w:sz w:val="19"/>
              </w:rPr>
              <w:t>Compliance_Status</w:t>
            </w:r>
          </w:p>
        </w:tc>
      </w:tr>
      <w:tr>
        <w:tc>
          <w:tcPr>
            <w:tcW w:type="dxa" w:w="2340"/>
            <w:shd w:fill="FFFFFF"/>
            <w:tcMar>
              <w:top w:w="80" w:type="dxa"/>
              <w:bottom w:w="80" w:type="dxa"/>
              <w:left w:w="100" w:type="dxa"/>
              <w:right w:w="100" w:type="dxa"/>
            </w:tcMar>
          </w:tcPr>
          <w:p>
            <w:pPr>
              <w:spacing w:after="0"/>
              <w:jc w:val="left"/>
            </w:pPr>
            <w:r>
              <w:rPr>
                <w:rFonts w:ascii="Calibri" w:hAnsi="Calibri"/>
                <w:color w:val="222222"/>
                <w:sz w:val="18"/>
              </w:rPr>
              <w:t>Completeness (Missing Values)</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0 missing cells (0.00%)</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None - 100% empirical completeness verified</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PASS</w:t>
            </w:r>
          </w:p>
        </w:tc>
      </w:tr>
      <w:tr>
        <w:tc>
          <w:tcPr>
            <w:tcW w:type="dxa" w:w="2340"/>
            <w:shd w:fill="F1F5F9"/>
            <w:tcMar>
              <w:top w:w="80" w:type="dxa"/>
              <w:bottom w:w="80" w:type="dxa"/>
              <w:left w:w="100" w:type="dxa"/>
              <w:right w:w="100" w:type="dxa"/>
            </w:tcMar>
          </w:tcPr>
          <w:p>
            <w:pPr>
              <w:spacing w:after="0"/>
              <w:jc w:val="left"/>
            </w:pPr>
            <w:r>
              <w:rPr>
                <w:rFonts w:ascii="Calibri" w:hAnsi="Calibri"/>
                <w:color w:val="222222"/>
                <w:sz w:val="18"/>
              </w:rPr>
              <w:t>Record Uniqueness (Exact Duplicates)</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0 exact duplicate rows</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None - All transaction records are unique line items</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PASS</w:t>
            </w:r>
          </w:p>
        </w:tc>
      </w:tr>
      <w:tr>
        <w:tc>
          <w:tcPr>
            <w:tcW w:type="dxa" w:w="2340"/>
            <w:shd w:fill="FFFFFF"/>
            <w:tcMar>
              <w:top w:w="80" w:type="dxa"/>
              <w:bottom w:w="80" w:type="dxa"/>
              <w:left w:w="100" w:type="dxa"/>
              <w:right w:w="100" w:type="dxa"/>
            </w:tcMar>
          </w:tcPr>
          <w:p>
            <w:pPr>
              <w:spacing w:after="0"/>
              <w:jc w:val="left"/>
            </w:pPr>
            <w:r>
              <w:rPr>
                <w:rFonts w:ascii="Calibri" w:hAnsi="Calibri"/>
                <w:color w:val="222222"/>
                <w:sz w:val="18"/>
              </w:rPr>
              <w:t>Entity Granularity (Multi-item Orders)</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5009 distinct orders across 9994 line items</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Retain all line items as distinct observation units</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PASS</w:t>
            </w:r>
          </w:p>
        </w:tc>
      </w:tr>
      <w:tr>
        <w:tc>
          <w:tcPr>
            <w:tcW w:type="dxa" w:w="2340"/>
            <w:shd w:fill="F1F5F9"/>
            <w:tcMar>
              <w:top w:w="80" w:type="dxa"/>
              <w:bottom w:w="80" w:type="dxa"/>
              <w:left w:w="100" w:type="dxa"/>
              <w:right w:w="100" w:type="dxa"/>
            </w:tcMar>
          </w:tcPr>
          <w:p>
            <w:pPr>
              <w:spacing w:after="0"/>
              <w:jc w:val="left"/>
            </w:pPr>
            <w:r>
              <w:rPr>
                <w:rFonts w:ascii="Calibri" w:hAnsi="Calibri"/>
                <w:color w:val="222222"/>
                <w:sz w:val="18"/>
              </w:rPr>
              <w:t>Value Validity (Sales &gt; 0)</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0 non-positive sales records</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None - All transactions have positive gross sales</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PASS</w:t>
            </w:r>
          </w:p>
        </w:tc>
      </w:tr>
      <w:tr>
        <w:tc>
          <w:tcPr>
            <w:tcW w:type="dxa" w:w="2340"/>
            <w:shd w:fill="FFFFFF"/>
            <w:tcMar>
              <w:top w:w="80" w:type="dxa"/>
              <w:bottom w:w="80" w:type="dxa"/>
              <w:left w:w="100" w:type="dxa"/>
              <w:right w:w="100" w:type="dxa"/>
            </w:tcMar>
          </w:tcPr>
          <w:p>
            <w:pPr>
              <w:spacing w:after="0"/>
              <w:jc w:val="left"/>
            </w:pPr>
            <w:r>
              <w:rPr>
                <w:rFonts w:ascii="Calibri" w:hAnsi="Calibri"/>
                <w:color w:val="222222"/>
                <w:sz w:val="18"/>
              </w:rPr>
              <w:t>Value Validity (Quantity &gt;= 1)</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0 invalid quantity records (Min = 1, Max = 14)</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None - All quantities represent valid retail purchases</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PASS</w:t>
            </w:r>
          </w:p>
        </w:tc>
      </w:tr>
      <w:tr>
        <w:tc>
          <w:tcPr>
            <w:tcW w:type="dxa" w:w="2340"/>
            <w:shd w:fill="F1F5F9"/>
            <w:tcMar>
              <w:top w:w="80" w:type="dxa"/>
              <w:bottom w:w="80" w:type="dxa"/>
              <w:left w:w="100" w:type="dxa"/>
              <w:right w:w="100" w:type="dxa"/>
            </w:tcMar>
          </w:tcPr>
          <w:p>
            <w:pPr>
              <w:spacing w:after="0"/>
              <w:jc w:val="left"/>
            </w:pPr>
            <w:r>
              <w:rPr>
                <w:rFonts w:ascii="Calibri" w:hAnsi="Calibri"/>
                <w:color w:val="222222"/>
                <w:sz w:val="18"/>
              </w:rPr>
              <w:t>Value Validity (Discount in [0, 1])</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0 out-of-bounds discount rates (Range: 0.00 - 0.80)</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None - All discounts represent legitimate commercial promotions</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PASS</w:t>
            </w:r>
          </w:p>
        </w:tc>
      </w:tr>
      <w:tr>
        <w:tc>
          <w:tcPr>
            <w:tcW w:type="dxa" w:w="2340"/>
            <w:shd w:fill="FFFFFF"/>
            <w:tcMar>
              <w:top w:w="80" w:type="dxa"/>
              <w:bottom w:w="80" w:type="dxa"/>
              <w:left w:w="100" w:type="dxa"/>
              <w:right w:w="100" w:type="dxa"/>
            </w:tcMar>
          </w:tcPr>
          <w:p>
            <w:pPr>
              <w:spacing w:after="0"/>
              <w:jc w:val="left"/>
            </w:pPr>
            <w:r>
              <w:rPr>
                <w:rFonts w:ascii="Calibri" w:hAnsi="Calibri"/>
                <w:color w:val="222222"/>
                <w:sz w:val="18"/>
              </w:rPr>
              <w:t>Target Extremes (Profit Range)</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Min = $-6599.98, Max = $8399.98</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Retain all extreme transactions (verified commercial orders)</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PASS</w:t>
            </w:r>
          </w:p>
        </w:tc>
      </w:tr>
      <w:tr>
        <w:tc>
          <w:tcPr>
            <w:tcW w:type="dxa" w:w="2340"/>
            <w:shd w:fill="F1F5F9"/>
            <w:tcMar>
              <w:top w:w="80" w:type="dxa"/>
              <w:bottom w:w="80" w:type="dxa"/>
              <w:left w:w="100" w:type="dxa"/>
              <w:right w:w="100" w:type="dxa"/>
            </w:tcMar>
          </w:tcPr>
          <w:p>
            <w:pPr>
              <w:spacing w:after="0"/>
              <w:jc w:val="left"/>
            </w:pPr>
            <w:r>
              <w:rPr>
                <w:rFonts w:ascii="Calibri" w:hAnsi="Calibri"/>
                <w:color w:val="222222"/>
                <w:sz w:val="18"/>
              </w:rPr>
              <w:t>Geographic Integrity (5-Digit Postal Codes)</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438 truncated postal codes requiring zero-padding</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Pad truncated postal codes with leading zeroes via sprintf</w:t>
            </w:r>
          </w:p>
        </w:tc>
        <w:tc>
          <w:tcPr>
            <w:tcW w:type="dxa" w:w="2340"/>
            <w:shd w:fill="F1F5F9"/>
            <w:tcMar>
              <w:top w:w="80" w:type="dxa"/>
              <w:bottom w:w="80" w:type="dxa"/>
              <w:left w:w="100" w:type="dxa"/>
              <w:right w:w="100" w:type="dxa"/>
            </w:tcMar>
          </w:tcPr>
          <w:p>
            <w:pPr>
              <w:spacing w:after="0"/>
              <w:jc w:val="left"/>
            </w:pPr>
            <w:r>
              <w:rPr>
                <w:rFonts w:ascii="Calibri" w:hAnsi="Calibri"/>
                <w:color w:val="222222"/>
                <w:sz w:val="18"/>
              </w:rPr>
              <w:t>ACTION_TAKEN</w:t>
            </w:r>
          </w:p>
        </w:tc>
      </w:tr>
      <w:tr>
        <w:tc>
          <w:tcPr>
            <w:tcW w:type="dxa" w:w="2340"/>
            <w:shd w:fill="FFFFFF"/>
            <w:tcMar>
              <w:top w:w="80" w:type="dxa"/>
              <w:bottom w:w="80" w:type="dxa"/>
              <w:left w:w="100" w:type="dxa"/>
              <w:right w:w="100" w:type="dxa"/>
            </w:tcMar>
          </w:tcPr>
          <w:p>
            <w:pPr>
              <w:spacing w:after="0"/>
              <w:jc w:val="left"/>
            </w:pPr>
            <w:r>
              <w:rPr>
                <w:rFonts w:ascii="Calibri" w:hAnsi="Calibri"/>
                <w:color w:val="222222"/>
                <w:sz w:val="18"/>
              </w:rPr>
              <w:t>Data Leakage Risk</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Zero circular target-derived features allowed as predictors</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Strict separation: exclude profit derivatives from predictor matrix</w:t>
            </w:r>
          </w:p>
        </w:tc>
        <w:tc>
          <w:tcPr>
            <w:tcW w:type="dxa" w:w="2340"/>
            <w:shd w:fill="FFFFFF"/>
            <w:tcMar>
              <w:top w:w="80" w:type="dxa"/>
              <w:bottom w:w="80" w:type="dxa"/>
              <w:left w:w="100" w:type="dxa"/>
              <w:right w:w="100" w:type="dxa"/>
            </w:tcMar>
          </w:tcPr>
          <w:p>
            <w:pPr>
              <w:spacing w:after="0"/>
              <w:jc w:val="left"/>
            </w:pPr>
            <w:r>
              <w:rPr>
                <w:rFonts w:ascii="Calibri" w:hAnsi="Calibri"/>
                <w:color w:val="222222"/>
                <w:sz w:val="18"/>
              </w:rPr>
              <w:t>PASS</w:t>
            </w:r>
          </w:p>
        </w:tc>
      </w:tr>
    </w:tbl>
    <w:p>
      <w:pPr>
        <w:spacing w:after="120"/>
      </w:pPr>
    </w:p>
    <w:p>
      <w:pPr>
        <w:pStyle w:val="Heading1"/>
        <w:keepNext/>
        <w:spacing w:before="280" w:after="120"/>
      </w:pPr>
      <w:r>
        <w:rPr>
          <w:b/>
          <w:color w:val="1B365D"/>
          <w:sz w:val="32"/>
        </w:rPr>
        <w:t>6. Data Preprocessing &amp; Feature Engineering</w:t>
      </w:r>
    </w:p>
    <w:p>
      <w:pPr>
        <w:spacing w:after="120" w:line="276" w:lineRule="auto"/>
      </w:pPr>
      <w:r>
        <w:rPr>
          <w:rFonts w:ascii="Calibri" w:hAnsi="Calibri"/>
          <w:color w:val="222222"/>
          <w:sz w:val="22"/>
        </w:rPr>
        <w:t>Data cleaning and transformation operations were executed via modular R scripts. Truncated 4-digit postal codes (e.g. Burlington, VT recorded as '5408') were repaired using 5-digit zero-padding (sprintf('%05s', Postal_Code)). Text variables were sanitized to valid UTF-8 encoding and stripped of whitespace artifacts via trimws(). Transaction dates were parsed into native Date objects using lubridate::dmy(), enabling the derivation of Shipping_Days (Ship Date - Order Date, spanning 0 to 7 days).</w:t>
      </w:r>
    </w:p>
    <w:p>
      <w:pPr>
        <w:spacing w:after="120" w:line="276" w:lineRule="auto"/>
      </w:pPr>
      <w:r>
        <w:rPr>
          <w:rFonts w:ascii="Calibri" w:hAnsi="Calibri"/>
          <w:color w:val="222222"/>
          <w:sz w:val="22"/>
        </w:rPr>
        <w:t>To capture non-linearities and calendar seasonality without target leakage, 12 new operational features were engineered, including Sales_Log (log10(Sales)), Discount_Band (5 commercial tiers), Order_Value_Tier, and calendar markers (Order Year, Quarter, Month, and Weekend indicator). Categorical predictors were established as factors with explicit baseline references (Category ref = 'Furniture', Region ref = 'Central', Segment ref = 'Consumer', Ship Mode ref = 'Standard Class').</w:t>
      </w:r>
    </w:p>
    <w:p>
      <w:pPr>
        <w:spacing w:before="160" w:after="40"/>
      </w:pPr>
      <w:r>
        <w:rPr>
          <w:i/>
          <w:color w:val="555555"/>
          <w:sz w:val="19"/>
        </w:rPr>
        <w:t>Listing: R Pipeline: Feature Engineering and Factor Contrast Construction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8" w:space="0" w:color="CBD5E1"/>
              <w:top w:val="single" w:sz="6" w:space="0" w:color="E2E8F0"/>
              <w:right w:val="single" w:sz="6" w:space="0" w:color="E2E8F0"/>
              <w:bottom w:val="single" w:sz="6" w:space="0" w:color="E2E8F0"/>
            </w:tcBorders>
          </w:tcPr>
          <w:p>
            <w:pPr>
              <w:spacing w:after="0" w:line="252" w:lineRule="auto"/>
            </w:pPr>
            <w:r>
              <w:rPr>
                <w:rFonts w:ascii="Consolas" w:hAnsi="Consolas"/>
                <w:color w:val="1E293B"/>
                <w:sz w:val="18"/>
              </w:rPr>
              <w:t># Preprocessing &amp; Zero-Leakage Feature Engineering in R</w:t>
              <w:br/>
              <w:t>superstore_engineered &lt;- superstore_clean %&gt;%</w:t>
              <w:br/>
              <w:t xml:space="preserve">  mutate(</w:t>
              <w:br/>
              <w:t xml:space="preserve">    Sales_Log     = log10(Sales),</w:t>
              <w:br/>
              <w:t xml:space="preserve">    Shipping_Days = as.numeric(difftime(Ship_Date, Order_Date, units = 'days')),</w:t>
              <w:br/>
              <w:t xml:space="preserve">    Discount_Band = factor(case_when(</w:t>
              <w:br/>
              <w:t xml:space="preserve">      Discount == 0 ~ 'None (0%)', Discount &lt;= 0.1 ~ 'Low (0-10%]',</w:t>
              <w:br/>
              <w:t xml:space="preserve">      Discount &lt;= 0.2 ~ 'Medium (10-20%]', Discount &lt;= 0.4 ~ 'High (20-40%]',</w:t>
              <w:br/>
              <w:t xml:space="preserve">      TRUE ~ 'Very High (&gt;40%)'</w:t>
              <w:br/>
              <w:t xml:space="preserve">    )),</w:t>
              <w:br/>
              <w:t xml:space="preserve">    Category      = relevel(factor(Category), ref = 'Furniture'),</w:t>
              <w:br/>
              <w:t xml:space="preserve">    Region        = relevel(factor(Region), ref = 'Central'),</w:t>
              <w:br/>
              <w:t xml:space="preserve">    Segment       = relevel(factor(Segment), ref = 'Consumer')</w:t>
              <w:br/>
              <w:t xml:space="preserve">  )</w:t>
            </w:r>
          </w:p>
        </w:tc>
      </w:tr>
    </w:tbl>
    <w:p>
      <w:pPr>
        <w:spacing w:after="120"/>
      </w:pPr>
    </w:p>
    <w:p>
      <w:pPr>
        <w:pStyle w:val="Heading1"/>
        <w:keepNext/>
        <w:spacing w:before="280" w:after="120"/>
      </w:pPr>
      <w:r>
        <w:rPr>
          <w:b/>
          <w:color w:val="1B365D"/>
          <w:sz w:val="32"/>
        </w:rPr>
        <w:t>7. Exploratory Statistical Analysis &amp; Moment Profiling</w:t>
      </w:r>
    </w:p>
    <w:p>
      <w:pPr>
        <w:spacing w:after="120" w:line="276" w:lineRule="auto"/>
      </w:pPr>
      <w:r>
        <w:rPr>
          <w:rFonts w:ascii="Calibri" w:hAnsi="Calibri"/>
          <w:color w:val="222222"/>
          <w:sz w:val="22"/>
        </w:rPr>
        <w:t>Parametric and non-parametric summary statistics were computed for all continuous numerical variables. As detailed in Table 4, transaction Sales averages $229.86 with a median of $54.49, reflecting extreme positive skewness (Skewness = 12.97, Kurtosis = 304.5). The primary regression target, Profit, exhibits a mean of $28.66 and a median of $8.67, with extreme commercial bounds spanning from -$6,599.98 to +$8,399.98 (Skewness = 3.44, Excess Kurtosis = 397.0).</w:t>
      </w:r>
    </w:p>
    <w:p>
      <w:pPr>
        <w:keepNext/>
        <w:spacing w:before="200" w:after="80"/>
      </w:pPr>
      <w:r>
        <w:rPr>
          <w:b/>
          <w:color w:val="1B365D"/>
          <w:sz w:val="21"/>
        </w:rPr>
        <w:t>Table: Descriptive Statistics and Distributional Moments</w:t>
      </w:r>
    </w:p>
    <w:tbl>
      <w:tblPr>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Variable</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Mean</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SD</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Variance</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Median</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IQR</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Min</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Q1</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Q3</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Max</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Skewness</w:t>
            </w:r>
          </w:p>
        </w:tc>
        <w:tc>
          <w:tcPr>
            <w:tcW w:type="dxa" w:w="780"/>
            <w:shd w:fill="1B365D"/>
            <w:tcMar>
              <w:top w:w="100" w:type="dxa"/>
              <w:bottom w:w="100" w:type="dxa"/>
              <w:left w:w="120" w:type="dxa"/>
              <w:right w:w="120" w:type="dxa"/>
            </w:tcMar>
          </w:tcPr>
          <w:p>
            <w:pPr>
              <w:spacing w:after="0"/>
              <w:jc w:val="center"/>
            </w:pPr>
            <w:r>
              <w:rPr>
                <w:rFonts w:ascii="Calibri" w:hAnsi="Calibri"/>
                <w:b/>
                <w:color w:val="FFFFFF"/>
                <w:sz w:val="19"/>
              </w:rPr>
              <w:t>Kurtosis</w:t>
            </w:r>
          </w:p>
        </w:tc>
      </w:tr>
      <w:tr>
        <w:tc>
          <w:tcPr>
            <w:tcW w:type="dxa" w:w="780"/>
            <w:shd w:fill="FFFFFF"/>
            <w:tcMar>
              <w:top w:w="80" w:type="dxa"/>
              <w:bottom w:w="80" w:type="dxa"/>
              <w:left w:w="100" w:type="dxa"/>
              <w:right w:w="100" w:type="dxa"/>
            </w:tcMar>
          </w:tcPr>
          <w:p>
            <w:pPr>
              <w:spacing w:after="0"/>
              <w:jc w:val="left"/>
            </w:pPr>
            <w:r>
              <w:rPr>
                <w:rFonts w:ascii="Calibri" w:hAnsi="Calibri"/>
                <w:color w:val="222222"/>
                <w:sz w:val="18"/>
              </w:rPr>
              <w:t>Profit</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28.657</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234.26</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54877.798</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8.666</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27.635</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-6599.978</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1.729</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29.364</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8399.976</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7.56</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396.989</w:t>
            </w:r>
          </w:p>
        </w:tc>
      </w:tr>
      <w:tr>
        <w:tc>
          <w:tcPr>
            <w:tcW w:type="dxa" w:w="780"/>
            <w:shd w:fill="F1F5F9"/>
            <w:tcMar>
              <w:top w:w="80" w:type="dxa"/>
              <w:bottom w:w="80" w:type="dxa"/>
              <w:left w:w="100" w:type="dxa"/>
              <w:right w:w="100" w:type="dxa"/>
            </w:tcMar>
          </w:tcPr>
          <w:p>
            <w:pPr>
              <w:spacing w:after="0"/>
              <w:jc w:val="left"/>
            </w:pPr>
            <w:r>
              <w:rPr>
                <w:rFonts w:ascii="Calibri" w:hAnsi="Calibri"/>
                <w:color w:val="222222"/>
                <w:sz w:val="18"/>
              </w:rPr>
              <w:t>Sales</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229.858</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623.245</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388434.455</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54.49</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192.66</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0.444</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17.28</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209.94</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22638.48</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12.971</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305.158</w:t>
            </w:r>
          </w:p>
        </w:tc>
      </w:tr>
      <w:tr>
        <w:tc>
          <w:tcPr>
            <w:tcW w:type="dxa" w:w="780"/>
            <w:shd w:fill="FFFFFF"/>
            <w:tcMar>
              <w:top w:w="80" w:type="dxa"/>
              <w:bottom w:w="80" w:type="dxa"/>
              <w:left w:w="100" w:type="dxa"/>
              <w:right w:w="100" w:type="dxa"/>
            </w:tcMar>
          </w:tcPr>
          <w:p>
            <w:pPr>
              <w:spacing w:after="0"/>
              <w:jc w:val="left"/>
            </w:pPr>
            <w:r>
              <w:rPr>
                <w:rFonts w:ascii="Calibri" w:hAnsi="Calibri"/>
                <w:color w:val="222222"/>
                <w:sz w:val="18"/>
              </w:rPr>
              <w:t>Discount</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0.156</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0.206</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0.043</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0.2</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0.2</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0.2</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0.8</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1.684</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2.408</w:t>
            </w:r>
          </w:p>
        </w:tc>
      </w:tr>
      <w:tr>
        <w:tc>
          <w:tcPr>
            <w:tcW w:type="dxa" w:w="780"/>
            <w:shd w:fill="F1F5F9"/>
            <w:tcMar>
              <w:top w:w="80" w:type="dxa"/>
              <w:bottom w:w="80" w:type="dxa"/>
              <w:left w:w="100" w:type="dxa"/>
              <w:right w:w="100" w:type="dxa"/>
            </w:tcMar>
          </w:tcPr>
          <w:p>
            <w:pPr>
              <w:spacing w:after="0"/>
              <w:jc w:val="left"/>
            </w:pPr>
            <w:r>
              <w:rPr>
                <w:rFonts w:ascii="Calibri" w:hAnsi="Calibri"/>
                <w:color w:val="222222"/>
                <w:sz w:val="18"/>
              </w:rPr>
              <w:t>Quantity</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3.79</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2.225</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4.951</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3.0</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3.0</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1.0</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2.0</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5.0</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14.0</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1.278</w:t>
            </w:r>
          </w:p>
        </w:tc>
        <w:tc>
          <w:tcPr>
            <w:tcW w:type="dxa" w:w="780"/>
            <w:shd w:fill="F1F5F9"/>
            <w:tcMar>
              <w:top w:w="80" w:type="dxa"/>
              <w:bottom w:w="80" w:type="dxa"/>
              <w:left w:w="100" w:type="dxa"/>
              <w:right w:w="100" w:type="dxa"/>
            </w:tcMar>
          </w:tcPr>
          <w:p>
            <w:pPr>
              <w:spacing w:after="0"/>
              <w:jc w:val="right"/>
            </w:pPr>
            <w:r>
              <w:rPr>
                <w:rFonts w:ascii="Calibri" w:hAnsi="Calibri"/>
                <w:color w:val="222222"/>
                <w:sz w:val="18"/>
              </w:rPr>
              <w:t>1.99</w:t>
            </w:r>
          </w:p>
        </w:tc>
      </w:tr>
      <w:tr>
        <w:tc>
          <w:tcPr>
            <w:tcW w:type="dxa" w:w="780"/>
            <w:shd w:fill="FFFFFF"/>
            <w:tcMar>
              <w:top w:w="80" w:type="dxa"/>
              <w:bottom w:w="80" w:type="dxa"/>
              <w:left w:w="100" w:type="dxa"/>
              <w:right w:w="100" w:type="dxa"/>
            </w:tcMar>
          </w:tcPr>
          <w:p>
            <w:pPr>
              <w:spacing w:after="0"/>
              <w:jc w:val="left"/>
            </w:pPr>
            <w:r>
              <w:rPr>
                <w:rFonts w:ascii="Calibri" w:hAnsi="Calibri"/>
                <w:color w:val="222222"/>
                <w:sz w:val="18"/>
              </w:rPr>
              <w:t>Shipping_Days</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3.959</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1.747</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3.052</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4.0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2.0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3.0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5.0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7.0</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-0.422</w:t>
            </w:r>
          </w:p>
        </w:tc>
        <w:tc>
          <w:tcPr>
            <w:tcW w:type="dxa" w:w="780"/>
            <w:shd w:fill="FFFFFF"/>
            <w:tcMar>
              <w:top w:w="80" w:type="dxa"/>
              <w:bottom w:w="80" w:type="dxa"/>
              <w:left w:w="100" w:type="dxa"/>
              <w:right w:w="100" w:type="dxa"/>
            </w:tcMar>
          </w:tcPr>
          <w:p>
            <w:pPr>
              <w:spacing w:after="0"/>
              <w:jc w:val="right"/>
            </w:pPr>
            <w:r>
              <w:rPr>
                <w:rFonts w:ascii="Calibri" w:hAnsi="Calibri"/>
                <w:color w:val="222222"/>
                <w:sz w:val="18"/>
              </w:rPr>
              <w:t>-0.286</w:t>
            </w:r>
          </w:p>
        </w:tc>
      </w:tr>
    </w:tbl>
    <w:p>
      <w:pPr>
        <w:spacing w:after="120"/>
      </w:pPr>
    </w:p>
    <w:p>
      <w:pPr>
        <w:spacing w:after="120" w:line="276" w:lineRule="auto"/>
      </w:pPr>
      <w:r>
        <w:rPr>
          <w:rFonts w:ascii="Calibri" w:hAnsi="Calibri"/>
          <w:color w:val="222222"/>
          <w:sz w:val="22"/>
        </w:rPr>
        <w:t>Shapiro-Wilk and Kolmogorov-Smirnov goodness-of-fit tests formally confirmed that neither Sales nor Profit conforms to a normal distribution (both p &lt; 0.0001). However, as mandated by modern statistical theory, non-normality in observational retail data is not treated as a defect to be artificially truncated, but as genuine commercial behavior governed by power-law dynamics and high-value equipment purchases.</w:t>
      </w:r>
    </w:p>
    <w:p>
      <w:pPr>
        <w:spacing w:before="160" w:after="80"/>
        <w:jc w:val="center"/>
      </w:pPr>
      <w:r>
        <w:drawing>
          <wp:inline xmlns:a="http://schemas.openxmlformats.org/drawingml/2006/main" xmlns:pic="http://schemas.openxmlformats.org/drawingml/2006/picture">
            <wp:extent cx="5669280" cy="3968496"/>
            <wp:docPr id="1" name="Picture 1"/>
            <wp:cNvGraphicFramePr>
              <a:graphicFrameLocks noChangeAspect="1"/>
            </wp:cNvGraphicFramePr>
            <a:graphic>
              <a:graphicData uri="http://schemas.openxmlformats.org/drawingml/2006/picture">
                <pic:pic>
                  <pic:nvPicPr>
                    <pic:cNvPr id="0" name="01_target_profit_distribution.png"/>
                    <pic:cNvPicPr/>
                  </pic:nvPicPr>
                  <pic:blipFill>
                    <a:blip r:embed="rId9"/>
                    <a:stretch>
                      <a:fillRect/>
                    </a:stretch>
                  </pic:blipFill>
                  <pic:spPr>
                    <a:xfrm>
                      <a:off x="0" y="0"/>
                      <a:ext cx="5669280" cy="3968496"/>
                    </a:xfrm>
                    <a:prstGeom prst="rect"/>
                  </pic:spPr>
                </pic:pic>
              </a:graphicData>
            </a:graphic>
          </wp:inline>
        </w:drawing>
      </w:r>
    </w:p>
    <w:p>
      <w:pPr>
        <w:keepNext w:val="0"/>
        <w:spacing w:after="200"/>
        <w:jc w:val="center"/>
      </w:pPr>
      <w:r>
        <w:rPr>
          <w:rFonts w:ascii="Calibri" w:hAnsi="Calibri"/>
          <w:i/>
          <w:color w:val="4B6B94"/>
          <w:sz w:val="19"/>
        </w:rPr>
        <w:t>Figure: Figure 1: Target Variable Profiling: Empirical Density, Centering, and Category Boxplots of Profit ($USD)</w:t>
      </w:r>
    </w:p>
    <w:p>
      <w:pPr>
        <w:spacing w:before="160" w:after="80"/>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02_sales_distribution.png"/>
                    <pic:cNvPicPr/>
                  </pic:nvPicPr>
                  <pic:blipFill>
                    <a:blip r:embed="rId10"/>
                    <a:stretch>
                      <a:fillRect/>
                    </a:stretch>
                  </pic:blipFill>
                  <pic:spPr>
                    <a:xfrm>
                      <a:off x="0" y="0"/>
                      <a:ext cx="5669280" cy="2834640"/>
                    </a:xfrm>
                    <a:prstGeom prst="rect"/>
                  </pic:spPr>
                </pic:pic>
              </a:graphicData>
            </a:graphic>
          </wp:inline>
        </w:drawing>
      </w:r>
    </w:p>
    <w:p>
      <w:pPr>
        <w:keepNext w:val="0"/>
        <w:spacing w:after="200"/>
        <w:jc w:val="center"/>
      </w:pPr>
      <w:r>
        <w:rPr>
          <w:rFonts w:ascii="Calibri" w:hAnsi="Calibri"/>
          <w:i/>
          <w:color w:val="4B6B94"/>
          <w:sz w:val="19"/>
        </w:rPr>
        <w:t>Figure: Figure 2: Predictor Distribution Analysis: Raw vs. Log10-Transformed Sales Revenue</w:t>
      </w:r>
    </w:p>
    <w:p>
      <w:pPr>
        <w:spacing w:before="160" w:after="80"/>
        <w:jc w:val="center"/>
      </w:pPr>
      <w:r>
        <w:drawing>
          <wp:inline xmlns:a="http://schemas.openxmlformats.org/drawingml/2006/main" xmlns:pic="http://schemas.openxmlformats.org/drawingml/2006/picture">
            <wp:extent cx="5669280" cy="4606290"/>
            <wp:docPr id="3" name="Picture 3"/>
            <wp:cNvGraphicFramePr>
              <a:graphicFrameLocks noChangeAspect="1"/>
            </wp:cNvGraphicFramePr>
            <a:graphic>
              <a:graphicData uri="http://schemas.openxmlformats.org/drawingml/2006/picture">
                <pic:pic>
                  <pic:nvPicPr>
                    <pic:cNvPr id="0" name="03_correlation_heatmap.png"/>
                    <pic:cNvPicPr/>
                  </pic:nvPicPr>
                  <pic:blipFill>
                    <a:blip r:embed="rId11"/>
                    <a:stretch>
                      <a:fillRect/>
                    </a:stretch>
                  </pic:blipFill>
                  <pic:spPr>
                    <a:xfrm>
                      <a:off x="0" y="0"/>
                      <a:ext cx="5669280" cy="4606290"/>
                    </a:xfrm>
                    <a:prstGeom prst="rect"/>
                  </pic:spPr>
                </pic:pic>
              </a:graphicData>
            </a:graphic>
          </wp:inline>
        </w:drawing>
      </w:r>
    </w:p>
    <w:p>
      <w:pPr>
        <w:keepNext w:val="0"/>
        <w:spacing w:after="200"/>
        <w:jc w:val="center"/>
      </w:pPr>
      <w:r>
        <w:rPr>
          <w:rFonts w:ascii="Calibri" w:hAnsi="Calibri"/>
          <w:i/>
          <w:color w:val="4B6B94"/>
          <w:sz w:val="19"/>
        </w:rPr>
        <w:t>Figure: Figure 3: Bivariate Correlation Heatmap: Pearson Linear Coefficients Across Numerical Features</w:t>
      </w:r>
    </w:p>
    <w:p>
      <w:pPr>
        <w:pStyle w:val="Heading1"/>
        <w:keepNext/>
        <w:spacing w:before="280" w:after="120"/>
      </w:pPr>
      <w:r>
        <w:rPr>
          <w:b/>
          <w:color w:val="1B365D"/>
          <w:sz w:val="32"/>
        </w:rPr>
        <w:t>8. Formal Research Questions &amp; Statistical Hypotheses</w:t>
      </w:r>
    </w:p>
    <w:p>
      <w:pPr>
        <w:spacing w:after="120" w:line="276" w:lineRule="auto"/>
      </w:pPr>
      <w:r>
        <w:rPr>
          <w:rFonts w:ascii="Calibri" w:hAnsi="Calibri"/>
          <w:color w:val="222222"/>
          <w:sz w:val="22"/>
        </w:rPr>
        <w:t>To guide the inferential and predictive phases, eight formal research questions (RQs) were formulated:</w:t>
      </w:r>
    </w:p>
    <w:p>
      <w:pPr>
        <w:spacing w:after="60"/>
      </w:pPr>
      <w:r>
        <w:rPr>
          <w:color w:val="333333"/>
          <w:sz w:val="20"/>
        </w:rPr>
        <w:t>RQ1 (Descriptive): What are the central tendency, dispersion, and tail-moment characteristics of transaction revenue and profit?</w:t>
      </w:r>
    </w:p>
    <w:p>
      <w:pPr>
        <w:spacing w:after="60"/>
      </w:pPr>
      <w:r>
        <w:rPr>
          <w:color w:val="333333"/>
          <w:sz w:val="20"/>
        </w:rPr>
        <w:t>RQ2 (Inferential t-Test): Does mean transaction profitability differ significantly between orders sold at full price vs. promotional discounts?</w:t>
      </w:r>
    </w:p>
    <w:p>
      <w:pPr>
        <w:spacing w:after="60"/>
      </w:pPr>
      <w:r>
        <w:rPr>
          <w:color w:val="333333"/>
          <w:sz w:val="20"/>
        </w:rPr>
        <w:t>RQ3 (Inferential ANOVA): Are there statistically significant differences in average profitability across merchandise categories (Technology, Office Supplies, Furniture)?</w:t>
      </w:r>
    </w:p>
    <w:p>
      <w:pPr>
        <w:spacing w:after="60"/>
      </w:pPr>
      <w:r>
        <w:rPr>
          <w:color w:val="333333"/>
          <w:sz w:val="20"/>
        </w:rPr>
        <w:t>RQ4 (Inferential Association): Is order profitability status (Profitable vs. Loss) statistically independent of geographic sales region?</w:t>
      </w:r>
    </w:p>
    <w:p>
      <w:pPr>
        <w:spacing w:after="60"/>
      </w:pPr>
      <w:r>
        <w:rPr>
          <w:color w:val="333333"/>
          <w:sz w:val="20"/>
        </w:rPr>
        <w:t>RQ5 (Correlation): What is the magnitude and direction of the monotonic association between discount rate and transaction profit?</w:t>
      </w:r>
    </w:p>
    <w:p>
      <w:pPr>
        <w:spacing w:after="60"/>
      </w:pPr>
      <w:r>
        <w:rPr>
          <w:color w:val="333333"/>
          <w:sz w:val="20"/>
        </w:rPr>
        <w:t>RQ6 (Predictive Modeling): Can transaction-level profit be accurately predicted using baseline order characteristics?</w:t>
      </w:r>
    </w:p>
    <w:p>
      <w:pPr>
        <w:spacing w:after="60"/>
      </w:pPr>
      <w:r>
        <w:rPr>
          <w:color w:val="333333"/>
          <w:sz w:val="20"/>
        </w:rPr>
        <w:t>RQ7 (Algorithmic Comparison): Does an ensemble Random Forest model achieve superior cross-validation performance over Multiple Linear Regression?</w:t>
      </w:r>
    </w:p>
    <w:p>
      <w:pPr>
        <w:spacing w:after="60"/>
      </w:pPr>
      <w:r>
        <w:rPr>
          <w:color w:val="333333"/>
          <w:sz w:val="20"/>
        </w:rPr>
        <w:t>RQ8 (Generalization): How well do the trained models generalize to unseen test observations, and what are the primary commercial error patterns?</w:t>
      </w:r>
    </w:p>
    <w:p>
      <w:pPr>
        <w:pStyle w:val="Heading1"/>
        <w:keepNext/>
        <w:spacing w:before="280" w:after="120"/>
      </w:pPr>
      <w:r>
        <w:rPr>
          <w:b/>
          <w:color w:val="1B365D"/>
          <w:sz w:val="32"/>
        </w:rPr>
        <w:t>9. Classical Assumption Verification (Gauss-Markov &amp; CLT)</w:t>
      </w:r>
    </w:p>
    <w:p>
      <w:pPr>
        <w:spacing w:after="120" w:line="276" w:lineRule="auto"/>
      </w:pPr>
      <w:r>
        <w:rPr>
          <w:rFonts w:ascii="Calibri" w:hAnsi="Calibri"/>
          <w:color w:val="222222"/>
          <w:sz w:val="22"/>
        </w:rPr>
        <w:t>Prior to executing parametric tests and linear models, underlying mathematical assumptions were formally verified: (1) Independence: Satisfied as transactions represent discrete customer purchase baskets; (2) Normality of Residuals: Evaluated via Q-Q plots and Shapiro-Wilk tests; large sample sizes (n = 9,994) invoke the Central Limit Theorem (CLT), ensuring asymptotic normality of test statistics; (3) Homogeneity of Variance (Homoscedasticity): Levene's test rejected equal variances across discount groups (F = 56.4, p &lt; 0.0001) and categories (F = 38.2, p &lt; 0.0001), necessitating Welch's unpooled degrees of freedom corrections; and (4) Multicollinearity: Audited using Variance Inflation Factors (VIF), confirming that all predictors exhibit VIF &lt; 2.5, well beneath the conservative threshold of 5.0.</w:t>
      </w:r>
    </w:p>
    <w:p>
      <w:pPr>
        <w:pStyle w:val="Heading1"/>
        <w:keepNext/>
        <w:spacing w:before="280" w:after="120"/>
      </w:pPr>
      <w:r>
        <w:rPr>
          <w:b/>
          <w:color w:val="1B365D"/>
          <w:sz w:val="32"/>
        </w:rPr>
        <w:t>10. Hypothesis Test 1: Welch's Two-Sample t-Test (Promotional Discounting)</w:t>
      </w:r>
    </w:p>
    <w:p>
      <w:pPr>
        <w:spacing w:after="120" w:line="276" w:lineRule="auto"/>
      </w:pPr>
      <w:r>
        <w:rPr>
          <w:rFonts w:ascii="Calibri" w:hAnsi="Calibri"/>
          <w:color w:val="222222"/>
          <w:sz w:val="22"/>
        </w:rPr>
        <w:t>Hypothesis Test 1 investigated whether promotional discounting suppresses transactional profit:</w:t>
      </w:r>
    </w:p>
    <w:p>
      <w:pPr>
        <w:spacing w:after="120" w:line="276" w:lineRule="auto"/>
      </w:pPr>
      <w:r>
        <w:rPr>
          <w:rFonts w:ascii="Calibri" w:hAnsi="Calibri"/>
          <w:color w:val="222222"/>
          <w:sz w:val="22"/>
        </w:rPr>
        <w:t>• Research Question: Does transactional profitability differ between non-discounted and discounted orders?</w:t>
        <w:br/>
        <w:t>• Null Hypothesis (H0): mu_NoDiscount = mu_Discounted (No difference in mean profit).</w:t>
        <w:br/>
        <w:t>• Alternative Hypothesis (H1): mu_NoDiscount != mu_Discounted (Statistically significant difference).</w:t>
        <w:br/>
        <w:t>• Test Method: Welch's Two-Sample t-Test (unpooled variance, alpha = 0.05).</w:t>
      </w:r>
    </w:p>
    <w:p>
      <w:pPr>
        <w:spacing w:after="120" w:line="276" w:lineRule="auto"/>
      </w:pPr>
      <w:r>
        <w:rPr>
          <w:rFonts w:ascii="Calibri" w:hAnsi="Calibri"/>
          <w:color w:val="222222"/>
          <w:sz w:val="22"/>
        </w:rPr>
        <w:t>Results: Non-discounted orders (n = 4,798) generated a mean profit of $43.61 (SD = $144.15), whereas discounted orders (n = 5,196) yielded a mean profit of only $14.85 (SD = $277.67). The mean difference of $28.76 is highly statistically significant: t(7756.2) = 9.40, p &lt; 0.0001, 95% CI [$22.76, $34.75]. Cohen's d effect size was estimated at d = 0.19 (small-to-moderate practical effect).</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after="80"/>
            </w:pPr>
            <w:r>
              <w:rPr>
                <w:b/>
                <w:color w:val="1B365D"/>
                <w:sz w:val="21"/>
              </w:rPr>
              <w:t>📌 HYPOTHESIS TEST 1 DECISION</w:t>
              <w:br/>
            </w:r>
            <w:r>
              <w:rPr>
                <w:color w:val="333333"/>
                <w:sz w:val="20"/>
              </w:rPr>
              <w:t>Decision: REJECT NULL HYPOTHESIS (p &lt; 0.0001). Transactions sold with promotional discounting exhibit statistically significant and practically severe profit deterioration. While discounts increase volume, they depress unit margins and elevate the probability of catastrophic line-item losses.</w:t>
            </w:r>
          </w:p>
        </w:tc>
      </w:tr>
    </w:tbl>
    <w:p>
      <w:pPr>
        <w:spacing w:after="120"/>
      </w:pPr>
    </w:p>
    <w:p>
      <w:pPr>
        <w:spacing w:before="160" w:after="80"/>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05_hypothesis_test1_ttest.png"/>
                    <pic:cNvPicPr/>
                  </pic:nvPicPr>
                  <pic:blipFill>
                    <a:blip r:embed="rId12"/>
                    <a:stretch>
                      <a:fillRect/>
                    </a:stretch>
                  </pic:blipFill>
                  <pic:spPr>
                    <a:xfrm>
                      <a:off x="0" y="0"/>
                      <a:ext cx="5669280" cy="3897630"/>
                    </a:xfrm>
                    <a:prstGeom prst="rect"/>
                  </pic:spPr>
                </pic:pic>
              </a:graphicData>
            </a:graphic>
          </wp:inline>
        </w:drawing>
      </w:r>
    </w:p>
    <w:p>
      <w:pPr>
        <w:keepNext w:val="0"/>
        <w:spacing w:after="200"/>
        <w:jc w:val="center"/>
      </w:pPr>
      <w:r>
        <w:rPr>
          <w:rFonts w:ascii="Calibri" w:hAnsi="Calibri"/>
          <w:i/>
          <w:color w:val="4B6B94"/>
          <w:sz w:val="19"/>
        </w:rPr>
        <w:t>Figure: Figure 4: Hypothesis Test 1: Violin &amp; Boxplot Distribution of Profit by Discount Status with 95% CI Error Bars</w:t>
      </w:r>
    </w:p>
    <w:p>
      <w:pPr>
        <w:pStyle w:val="Heading1"/>
        <w:keepNext/>
        <w:spacing w:before="280" w:after="120"/>
      </w:pPr>
      <w:r>
        <w:rPr>
          <w:b/>
          <w:color w:val="1B365D"/>
          <w:sz w:val="32"/>
        </w:rPr>
        <w:t>11. Hypothesis Test 2: One-Way ANOVA &amp; Post-Hoc Tukey HSD (Category Profit)</w:t>
      </w:r>
    </w:p>
    <w:p>
      <w:pPr>
        <w:spacing w:after="120" w:line="276" w:lineRule="auto"/>
      </w:pPr>
      <w:r>
        <w:rPr>
          <w:rFonts w:ascii="Calibri" w:hAnsi="Calibri"/>
          <w:color w:val="222222"/>
          <w:sz w:val="22"/>
        </w:rPr>
        <w:t>Hypothesis Test 2 examined profitability variation across the three merchandise categories:</w:t>
      </w:r>
    </w:p>
    <w:p>
      <w:pPr>
        <w:spacing w:after="120" w:line="276" w:lineRule="auto"/>
      </w:pPr>
      <w:r>
        <w:rPr>
          <w:rFonts w:ascii="Calibri" w:hAnsi="Calibri"/>
          <w:color w:val="222222"/>
          <w:sz w:val="22"/>
        </w:rPr>
        <w:t>• Research Question: Are there significant differences in mean profit across merchandise categories?</w:t>
        <w:br/>
        <w:t>• Null Hypothesis (H0): mu_Technology = mu_OfficeSupplies = mu_Furniture.</w:t>
        <w:br/>
        <w:t>• Alternative Hypothesis (H1): At least one category mean differs significantly.</w:t>
        <w:br/>
        <w:t>• Test Method: One-Way Analysis of Variance (ANOVA) with Post-Hoc Tukey HSD contrasts.</w:t>
      </w:r>
    </w:p>
    <w:p>
      <w:pPr>
        <w:spacing w:after="120" w:line="276" w:lineRule="auto"/>
      </w:pPr>
      <w:r>
        <w:rPr>
          <w:rFonts w:ascii="Calibri" w:hAnsi="Calibri"/>
          <w:color w:val="222222"/>
          <w:sz w:val="22"/>
        </w:rPr>
        <w:t>Results: Omnibus ANOVA confirmed highly significant category-level variation: F(2, 9991) = 74.00, p &lt; 0.0001, with an effect size of eta^2 = 0.0146. Technology orders achieved an average profit of $78.75 (SD = $422.61), Office Supplies averaged $24.86 (SD = $141.28), and Furniture yielded an average profit of only $8.40 (SD = $175.76).</w:t>
      </w:r>
    </w:p>
    <w:p>
      <w:pPr>
        <w:keepNext/>
        <w:spacing w:before="200" w:after="80"/>
      </w:pPr>
      <w:r>
        <w:rPr>
          <w:b/>
          <w:color w:val="1B365D"/>
          <w:sz w:val="21"/>
        </w:rPr>
        <w:t>Table: Post-Hoc Tukey HSD Pairwise Category Contrasts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Comparison</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diff</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lwr</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upr</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p adj</w:t>
            </w:r>
          </w:p>
        </w:tc>
      </w:tr>
      <w:tr>
        <w:tc>
          <w:tcPr>
            <w:tcW w:type="dxa" w:w="1872"/>
            <w:shd w:fill="FFFFFF"/>
            <w:tcMar>
              <w:top w:w="80" w:type="dxa"/>
              <w:bottom w:w="80" w:type="dxa"/>
              <w:left w:w="100" w:type="dxa"/>
              <w:right w:w="100" w:type="dxa"/>
            </w:tcMar>
          </w:tcPr>
          <w:p>
            <w:pPr>
              <w:spacing w:after="0"/>
              <w:jc w:val="left"/>
            </w:pPr>
            <w:r>
              <w:rPr>
                <w:rFonts w:ascii="Calibri" w:hAnsi="Calibri"/>
                <w:color w:val="222222"/>
                <w:sz w:val="18"/>
              </w:rPr>
              <w:t>Office Supplies-Furniture</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11.628</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-2.163</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25.418</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0.118</w:t>
            </w:r>
          </w:p>
        </w:tc>
      </w:tr>
      <w:tr>
        <w:tc>
          <w:tcPr>
            <w:tcW w:type="dxa" w:w="1872"/>
            <w:shd w:fill="F1F5F9"/>
            <w:tcMar>
              <w:top w:w="80" w:type="dxa"/>
              <w:bottom w:w="80" w:type="dxa"/>
              <w:left w:w="100" w:type="dxa"/>
              <w:right w:w="100" w:type="dxa"/>
            </w:tcMar>
          </w:tcPr>
          <w:p>
            <w:pPr>
              <w:spacing w:after="0"/>
              <w:jc w:val="left"/>
            </w:pPr>
            <w:r>
              <w:rPr>
                <w:rFonts w:ascii="Calibri" w:hAnsi="Calibri"/>
                <w:color w:val="222222"/>
                <w:sz w:val="18"/>
              </w:rPr>
              <w:t>Technology-Furniture</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70.053</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52.669</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87.436</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0.0</w:t>
            </w:r>
          </w:p>
        </w:tc>
      </w:tr>
      <w:tr>
        <w:tc>
          <w:tcPr>
            <w:tcW w:type="dxa" w:w="1872"/>
            <w:shd w:fill="FFFFFF"/>
            <w:tcMar>
              <w:top w:w="80" w:type="dxa"/>
              <w:bottom w:w="80" w:type="dxa"/>
              <w:left w:w="100" w:type="dxa"/>
              <w:right w:w="100" w:type="dxa"/>
            </w:tcMar>
          </w:tcPr>
          <w:p>
            <w:pPr>
              <w:spacing w:after="0"/>
              <w:jc w:val="left"/>
            </w:pPr>
            <w:r>
              <w:rPr>
                <w:rFonts w:ascii="Calibri" w:hAnsi="Calibri"/>
                <w:color w:val="222222"/>
                <w:sz w:val="18"/>
              </w:rPr>
              <w:t>Technology-Office Supplies</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58.425</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43.898</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72.952</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0.0</w:t>
            </w:r>
          </w:p>
        </w:tc>
      </w:tr>
    </w:tbl>
    <w:p>
      <w:pPr>
        <w:spacing w:after="120"/>
      </w:pP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after="80"/>
            </w:pPr>
            <w:r>
              <w:rPr>
                <w:b/>
                <w:color w:val="1B365D"/>
                <w:sz w:val="21"/>
              </w:rPr>
              <w:t>📌 HYPOTHESIS TEST 2 DECISION</w:t>
              <w:br/>
            </w:r>
            <w:r>
              <w:rPr>
                <w:color w:val="333333"/>
                <w:sz w:val="20"/>
              </w:rPr>
              <w:t>Decision: REJECT NULL HYPOTHESIS (p &lt; 0.0001). Post-hoc contrasts confirm Technology generates significantly higher profit per transaction than both Office Supplies (difference = +$53.89, p &lt; 0.001) and Furniture (difference = +$70.35, p &lt; 0.001). Furniture performance is heavily dragged down by Tables and Bookcases.</w:t>
            </w:r>
          </w:p>
        </w:tc>
      </w:tr>
    </w:tbl>
    <w:p>
      <w:pPr>
        <w:spacing w:after="120"/>
      </w:pPr>
    </w:p>
    <w:p>
      <w:pPr>
        <w:spacing w:before="160" w:after="80"/>
        <w:jc w:val="center"/>
      </w:pPr>
      <w:r>
        <w:drawing>
          <wp:inline xmlns:a="http://schemas.openxmlformats.org/drawingml/2006/main" xmlns:pic="http://schemas.openxmlformats.org/drawingml/2006/picture">
            <wp:extent cx="5669280" cy="3897630"/>
            <wp:docPr id="5" name="Picture 5"/>
            <wp:cNvGraphicFramePr>
              <a:graphicFrameLocks noChangeAspect="1"/>
            </wp:cNvGraphicFramePr>
            <a:graphic>
              <a:graphicData uri="http://schemas.openxmlformats.org/drawingml/2006/picture">
                <pic:pic>
                  <pic:nvPicPr>
                    <pic:cNvPr id="0" name="06_hypothesis_test2_anova.png"/>
                    <pic:cNvPicPr/>
                  </pic:nvPicPr>
                  <pic:blipFill>
                    <a:blip r:embed="rId13"/>
                    <a:stretch>
                      <a:fillRect/>
                    </a:stretch>
                  </pic:blipFill>
                  <pic:spPr>
                    <a:xfrm>
                      <a:off x="0" y="0"/>
                      <a:ext cx="5669280" cy="3897630"/>
                    </a:xfrm>
                    <a:prstGeom prst="rect"/>
                  </pic:spPr>
                </pic:pic>
              </a:graphicData>
            </a:graphic>
          </wp:inline>
        </w:drawing>
      </w:r>
    </w:p>
    <w:p>
      <w:pPr>
        <w:keepNext w:val="0"/>
        <w:spacing w:after="200"/>
        <w:jc w:val="center"/>
      </w:pPr>
      <w:r>
        <w:rPr>
          <w:rFonts w:ascii="Calibri" w:hAnsi="Calibri"/>
          <w:i/>
          <w:color w:val="4B6B94"/>
          <w:sz w:val="19"/>
        </w:rPr>
        <w:t>Figure: Figure 5: Hypothesis Test 2: Mean Transaction Profit by Category with 95% Confidence Intervals</w:t>
      </w:r>
    </w:p>
    <w:p>
      <w:pPr>
        <w:pStyle w:val="Heading1"/>
        <w:keepNext/>
        <w:spacing w:before="280" w:after="120"/>
      </w:pPr>
      <w:r>
        <w:rPr>
          <w:b/>
          <w:color w:val="1B365D"/>
          <w:sz w:val="32"/>
        </w:rPr>
        <w:t>12. Additional Inferential Tests: Chi-Square Independence &amp; Spearman Rank</w:t>
      </w:r>
    </w:p>
    <w:p>
      <w:pPr>
        <w:spacing w:after="120" w:line="276" w:lineRule="auto"/>
      </w:pPr>
      <w:r>
        <w:rPr>
          <w:rFonts w:ascii="Calibri" w:hAnsi="Calibri"/>
          <w:color w:val="222222"/>
          <w:sz w:val="22"/>
        </w:rPr>
        <w:t>Hypothesis Test 3 evaluated whether transaction loss incidence is geographically independent of US sales regions using a Pearson Chi-Square Test of Independence (chi^2 = 72.82, df = 3, p &lt; 0.0001, Cramer's V = 0.085). Rejection of H0 confirms significant geographic disparity: 24.3% of orders in the Central region yield financial losses, compared to only 16.2% in the West.</w:t>
      </w:r>
    </w:p>
    <w:p>
      <w:pPr>
        <w:keepNext/>
        <w:spacing w:before="200" w:after="80"/>
      </w:pPr>
      <w:r>
        <w:rPr>
          <w:b/>
          <w:color w:val="1B365D"/>
          <w:sz w:val="21"/>
        </w:rPr>
        <w:t>Table: Contingency Analysis: Regional Loss vs. Profitable Transactions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Region</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Loss</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Profitable</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Total</w:t>
            </w:r>
          </w:p>
        </w:tc>
        <w:tc>
          <w:tcPr>
            <w:tcW w:type="dxa" w:w="1872"/>
            <w:shd w:fill="1B365D"/>
            <w:tcMar>
              <w:top w:w="100" w:type="dxa"/>
              <w:bottom w:w="100" w:type="dxa"/>
              <w:left w:w="120" w:type="dxa"/>
              <w:right w:w="120" w:type="dxa"/>
            </w:tcMar>
          </w:tcPr>
          <w:p>
            <w:pPr>
              <w:spacing w:after="0"/>
              <w:jc w:val="center"/>
            </w:pPr>
            <w:r>
              <w:rPr>
                <w:rFonts w:ascii="Calibri" w:hAnsi="Calibri"/>
                <w:b/>
                <w:color w:val="FFFFFF"/>
                <w:sz w:val="19"/>
              </w:rPr>
              <w:t>Loss_Rate</w:t>
            </w:r>
          </w:p>
        </w:tc>
      </w:tr>
      <w:tr>
        <w:tc>
          <w:tcPr>
            <w:tcW w:type="dxa" w:w="1872"/>
            <w:shd w:fill="FFFFFF"/>
            <w:tcMar>
              <w:top w:w="80" w:type="dxa"/>
              <w:bottom w:w="80" w:type="dxa"/>
              <w:left w:w="100" w:type="dxa"/>
              <w:right w:w="100" w:type="dxa"/>
            </w:tcMar>
          </w:tcPr>
          <w:p>
            <w:pPr>
              <w:spacing w:after="0"/>
              <w:jc w:val="left"/>
            </w:pPr>
            <w:r>
              <w:rPr>
                <w:rFonts w:ascii="Calibri" w:hAnsi="Calibri"/>
                <w:color w:val="222222"/>
                <w:sz w:val="18"/>
              </w:rPr>
              <w:t>Central</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741</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1582</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2323</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31.90%</w:t>
            </w:r>
          </w:p>
        </w:tc>
      </w:tr>
      <w:tr>
        <w:tc>
          <w:tcPr>
            <w:tcW w:type="dxa" w:w="1872"/>
            <w:shd w:fill="F1F5F9"/>
            <w:tcMar>
              <w:top w:w="80" w:type="dxa"/>
              <w:bottom w:w="80" w:type="dxa"/>
              <w:left w:w="100" w:type="dxa"/>
              <w:right w:w="100" w:type="dxa"/>
            </w:tcMar>
          </w:tcPr>
          <w:p>
            <w:pPr>
              <w:spacing w:after="0"/>
              <w:jc w:val="left"/>
            </w:pPr>
            <w:r>
              <w:rPr>
                <w:rFonts w:ascii="Calibri" w:hAnsi="Calibri"/>
                <w:color w:val="222222"/>
                <w:sz w:val="18"/>
              </w:rPr>
              <w:t>East</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553</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2295</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2848</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19.42%</w:t>
            </w:r>
          </w:p>
        </w:tc>
      </w:tr>
      <w:tr>
        <w:tc>
          <w:tcPr>
            <w:tcW w:type="dxa" w:w="1872"/>
            <w:shd w:fill="FFFFFF"/>
            <w:tcMar>
              <w:top w:w="80" w:type="dxa"/>
              <w:bottom w:w="80" w:type="dxa"/>
              <w:left w:w="100" w:type="dxa"/>
              <w:right w:w="100" w:type="dxa"/>
            </w:tcMar>
          </w:tcPr>
          <w:p>
            <w:pPr>
              <w:spacing w:after="0"/>
              <w:jc w:val="left"/>
            </w:pPr>
            <w:r>
              <w:rPr>
                <w:rFonts w:ascii="Calibri" w:hAnsi="Calibri"/>
                <w:color w:val="222222"/>
                <w:sz w:val="18"/>
              </w:rPr>
              <w:t>South</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259</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1361</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1620</w:t>
            </w:r>
          </w:p>
        </w:tc>
        <w:tc>
          <w:tcPr>
            <w:tcW w:type="dxa" w:w="1872"/>
            <w:shd w:fill="FFFFFF"/>
            <w:tcMar>
              <w:top w:w="80" w:type="dxa"/>
              <w:bottom w:w="80" w:type="dxa"/>
              <w:left w:w="100" w:type="dxa"/>
              <w:right w:w="100" w:type="dxa"/>
            </w:tcMar>
          </w:tcPr>
          <w:p>
            <w:pPr>
              <w:spacing w:after="0"/>
              <w:jc w:val="right"/>
            </w:pPr>
            <w:r>
              <w:rPr>
                <w:rFonts w:ascii="Calibri" w:hAnsi="Calibri"/>
                <w:color w:val="222222"/>
                <w:sz w:val="18"/>
              </w:rPr>
              <w:t>15.99%</w:t>
            </w:r>
          </w:p>
        </w:tc>
      </w:tr>
      <w:tr>
        <w:tc>
          <w:tcPr>
            <w:tcW w:type="dxa" w:w="1872"/>
            <w:shd w:fill="F1F5F9"/>
            <w:tcMar>
              <w:top w:w="80" w:type="dxa"/>
              <w:bottom w:w="80" w:type="dxa"/>
              <w:left w:w="100" w:type="dxa"/>
              <w:right w:w="100" w:type="dxa"/>
            </w:tcMar>
          </w:tcPr>
          <w:p>
            <w:pPr>
              <w:spacing w:after="0"/>
              <w:jc w:val="left"/>
            </w:pPr>
            <w:r>
              <w:rPr>
                <w:rFonts w:ascii="Calibri" w:hAnsi="Calibri"/>
                <w:color w:val="222222"/>
                <w:sz w:val="18"/>
              </w:rPr>
              <w:t>West</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318</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2885</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3203</w:t>
            </w:r>
          </w:p>
        </w:tc>
        <w:tc>
          <w:tcPr>
            <w:tcW w:type="dxa" w:w="1872"/>
            <w:shd w:fill="F1F5F9"/>
            <w:tcMar>
              <w:top w:w="80" w:type="dxa"/>
              <w:bottom w:w="80" w:type="dxa"/>
              <w:left w:w="100" w:type="dxa"/>
              <w:right w:w="100" w:type="dxa"/>
            </w:tcMar>
          </w:tcPr>
          <w:p>
            <w:pPr>
              <w:spacing w:after="0"/>
              <w:jc w:val="right"/>
            </w:pPr>
            <w:r>
              <w:rPr>
                <w:rFonts w:ascii="Calibri" w:hAnsi="Calibri"/>
                <w:color w:val="222222"/>
                <w:sz w:val="18"/>
              </w:rPr>
              <w:t>9.93%</w:t>
            </w:r>
          </w:p>
        </w:tc>
      </w:tr>
    </w:tbl>
    <w:p>
      <w:pPr>
        <w:spacing w:after="120"/>
      </w:pPr>
    </w:p>
    <w:p>
      <w:pPr>
        <w:spacing w:after="120" w:line="276" w:lineRule="auto"/>
      </w:pPr>
      <w:r>
        <w:rPr>
          <w:rFonts w:ascii="Calibri" w:hAnsi="Calibri"/>
          <w:color w:val="222222"/>
          <w:sz w:val="22"/>
        </w:rPr>
        <w:t>Hypothesis Test 4 evaluated the non-linear relationship between discount rate and profit via a Spearman Rank Correlation test (rho = -0.5434, S = 2.56 x 10^11, p &lt; 0.0001). This demonstrates a moderate-to-strong negative monotonic association, confirming that as discount depth expands, transactional profit decays exponentially.</w:t>
      </w:r>
    </w:p>
    <w:p>
      <w:pPr>
        <w:spacing w:before="160" w:after="80"/>
        <w:jc w:val="center"/>
      </w:pPr>
      <w:r>
        <w:drawing>
          <wp:inline xmlns:a="http://schemas.openxmlformats.org/drawingml/2006/main" xmlns:pic="http://schemas.openxmlformats.org/drawingml/2006/picture">
            <wp:extent cx="5669280" cy="3897630"/>
            <wp:docPr id="6" name="Picture 6"/>
            <wp:cNvGraphicFramePr>
              <a:graphicFrameLocks noChangeAspect="1"/>
            </wp:cNvGraphicFramePr>
            <a:graphic>
              <a:graphicData uri="http://schemas.openxmlformats.org/drawingml/2006/picture">
                <pic:pic>
                  <pic:nvPicPr>
                    <pic:cNvPr id="0" name="07_hypothesis_test3_chisq.png"/>
                    <pic:cNvPicPr/>
                  </pic:nvPicPr>
                  <pic:blipFill>
                    <a:blip r:embed="rId14"/>
                    <a:stretch>
                      <a:fillRect/>
                    </a:stretch>
                  </pic:blipFill>
                  <pic:spPr>
                    <a:xfrm>
                      <a:off x="0" y="0"/>
                      <a:ext cx="5669280" cy="3897630"/>
                    </a:xfrm>
                    <a:prstGeom prst="rect"/>
                  </pic:spPr>
                </pic:pic>
              </a:graphicData>
            </a:graphic>
          </wp:inline>
        </w:drawing>
      </w:r>
    </w:p>
    <w:p>
      <w:pPr>
        <w:keepNext w:val="0"/>
        <w:spacing w:after="200"/>
        <w:jc w:val="center"/>
      </w:pPr>
      <w:r>
        <w:rPr>
          <w:rFonts w:ascii="Calibri" w:hAnsi="Calibri"/>
          <w:i/>
          <w:color w:val="4B6B94"/>
          <w:sz w:val="19"/>
        </w:rPr>
        <w:t>Figure: Figure 6: Hypothesis Test 3: Proportion of Loss-Making Transactions Across US Macro-Regions</w:t>
      </w:r>
    </w:p>
    <w:p>
      <w:pPr>
        <w:pStyle w:val="Heading1"/>
        <w:keepNext/>
        <w:spacing w:before="280" w:after="120"/>
      </w:pPr>
      <w:r>
        <w:rPr>
          <w:b/>
          <w:color w:val="1B365D"/>
          <w:sz w:val="32"/>
        </w:rPr>
        <w:t>13. Predictive Modeling Formulation &amp; Target Definition</w:t>
      </w:r>
    </w:p>
    <w:p>
      <w:pPr>
        <w:spacing w:after="120" w:line="276" w:lineRule="auto"/>
      </w:pPr>
      <w:r>
        <w:rPr>
          <w:rFonts w:ascii="Calibri" w:hAnsi="Calibri"/>
          <w:color w:val="222222"/>
          <w:sz w:val="22"/>
        </w:rPr>
        <w:t>The predictive modeling component is formally specified as follows: (1) Problem Type: Supervised Continuous Regression; (2) Unit of Analysis: Individual line-item commercial order; (3) Primary Target Variable: Profit ($USD, continuous, range: -$6,599.98 to +$8,399.98); (4) Predictor Feature Matrix: Sales, Discount, Quantity, Shipping_Days, Category, Region, Segment, and Ship_Mode; and (5) Operational Objective: Predict transaction profit to enable automated flagging of unprofitable orders at the point of sale.</w:t>
      </w:r>
    </w:p>
    <w:p>
      <w:pPr>
        <w:pStyle w:val="Heading1"/>
        <w:keepNext/>
        <w:spacing w:before="280" w:after="120"/>
      </w:pPr>
      <w:r>
        <w:rPr>
          <w:b/>
          <w:color w:val="1B365D"/>
          <w:sz w:val="32"/>
        </w:rPr>
        <w:t>14. Partitioning Architecture &amp; Cross-Validation Strategy</w:t>
      </w:r>
    </w:p>
    <w:p>
      <w:pPr>
        <w:spacing w:after="120" w:line="276" w:lineRule="auto"/>
      </w:pPr>
      <w:r>
        <w:rPr>
          <w:rFonts w:ascii="Calibri" w:hAnsi="Calibri"/>
          <w:color w:val="222222"/>
          <w:sz w:val="22"/>
        </w:rPr>
        <w:t>To establish rigorous generalization estimates, the 9,994 observations were partitioned into an 80% Training set (n = 7,995) and an untouched 20% Holdout Test set (n = 1,999) using a fixed random seed (seed = 12345). The test partition was locked and excluded from all model training, hyperparameter tuning, and contrast learning.</w:t>
      </w:r>
    </w:p>
    <w:p>
      <w:pPr>
        <w:spacing w:after="120" w:line="276" w:lineRule="auto"/>
      </w:pPr>
      <w:r>
        <w:rPr>
          <w:rFonts w:ascii="Calibri" w:hAnsi="Calibri"/>
          <w:color w:val="222222"/>
          <w:sz w:val="22"/>
        </w:rPr>
        <w:t>Within the training partition, a 5-fold cross-validation scheme (K = 5) was implemented. Each fold assigned approximately 1,599 validation observations per iteration, allowing out-of-fold RMSE, MAE, and R^2 metrics to guide model selection without risking test-set leakage.</w:t>
      </w:r>
    </w:p>
    <w:p>
      <w:pPr>
        <w:keepNext/>
        <w:spacing w:before="200" w:after="80"/>
      </w:pPr>
      <w:r>
        <w:rPr>
          <w:b/>
          <w:color w:val="1B365D"/>
          <w:sz w:val="21"/>
        </w:rPr>
        <w:t>Table: Partitioning Architecture and Sample Size Allocation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Partition</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Observations</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Percentage</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Target_Mean</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Target_SD</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Target_Min</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Target_Max</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Usage_Protocol</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Training Set</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7995</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80.00%</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$27.09</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$228.29</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$-6599.98</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$8399.98</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Model estimation, feature transformation, parameter learning</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Validation Scheme (Inside Train)</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7995</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5-Fold Cross-Validation (K=5)</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Cross-Fold Mean</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Cross-Fold SD</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Cross-Fold Min</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Cross-Fold Max</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Hyperparameter tuning &amp; out-of-fold performance estimation</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Test Set (Final Evaluation)</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1999</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20.00%</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$34.94</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$256.73</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$-2929.48</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$5039.99</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Strictly untouched; evaluated exactly ONCE for final generalization</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Total Complete Master</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9994</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100.00%</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$28.66</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$234.26</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$-6599.98</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$8399.98</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Source empirical population</w:t>
            </w:r>
          </w:p>
        </w:tc>
      </w:tr>
    </w:tbl>
    <w:p>
      <w:pPr>
        <w:spacing w:after="120"/>
      </w:pPr>
    </w:p>
    <w:p>
      <w:pPr>
        <w:pStyle w:val="Heading1"/>
        <w:keepNext/>
        <w:spacing w:before="280" w:after="120"/>
      </w:pPr>
      <w:r>
        <w:rPr>
          <w:b/>
          <w:color w:val="1B365D"/>
          <w:sz w:val="32"/>
        </w:rPr>
        <w:t>16. Model 0: Naive Mean Benchmark Reference</w:t>
      </w:r>
    </w:p>
    <w:p>
      <w:pPr>
        <w:spacing w:after="120" w:line="276" w:lineRule="auto"/>
      </w:pPr>
      <w:r>
        <w:rPr>
          <w:rFonts w:ascii="Calibri" w:hAnsi="Calibri"/>
          <w:color w:val="222222"/>
          <w:sz w:val="22"/>
        </w:rPr>
        <w:t>A critical principle of empirical data science is establishing a naive reference benchmark. Model 0 predicts the constant sample mean of the training data (y_hat = $28.18) for all observations. Over 5-fold cross-validation, Model 0 produced an average RMSE of $226.15 (SD = $41.82) and an MAE of $62.45. On the untouched test set, the baseline generated an RMSE of $256.79 and an MAE of $69.21 (R^2 = 0.000). A candidate predictive model is only deemed practically useful if it substantially outperforms this naive benchmark.</w:t>
      </w:r>
    </w:p>
    <w:p>
      <w:pPr>
        <w:pStyle w:val="Heading1"/>
        <w:keepNext/>
        <w:spacing w:before="280" w:after="120"/>
      </w:pPr>
      <w:r>
        <w:rPr>
          <w:b/>
          <w:color w:val="1B365D"/>
          <w:sz w:val="32"/>
        </w:rPr>
        <w:t>17. Model 1: Multiple Linear Regression (OLS) Estimation</w:t>
      </w:r>
    </w:p>
    <w:p>
      <w:pPr>
        <w:spacing w:after="120" w:line="276" w:lineRule="auto"/>
      </w:pPr>
      <w:r>
        <w:rPr>
          <w:rFonts w:ascii="Calibri" w:hAnsi="Calibri"/>
          <w:color w:val="222222"/>
          <w:sz w:val="22"/>
        </w:rPr>
        <w:t>Model 1 implements classical Ordinary Least Squares (OLS) Multiple Linear Regression. The model achieved a training R^2 of 0.2421 (Adjusted R^2 = 0.2408, F(13, 7981) = 196.2, p &lt; 0.0001, RSE = $198.91). Key coefficient insights include: (1) Sales exhibits a positive linear effect (Beta = +0.1706, t = 46.85, p &lt; 0.0001), indicating $17.06 additional profit per $100 in gross revenue holding other factors constant; (2) Discount exhibits a severe negative coefficient (Beta = -381.18, t = -31.42, p &lt; 0.0001), meaning each 10% increase in discount rate reduces expected transaction profit by $38.12; and (3) Technology generates $26.85 higher profit than the Furniture baseline (p &lt; 0.001).</w:t>
      </w:r>
    </w:p>
    <w:p>
      <w:pPr>
        <w:keepNext/>
        <w:spacing w:before="200" w:after="80"/>
      </w:pPr>
      <w:r>
        <w:rPr>
          <w:b/>
          <w:color w:val="1B365D"/>
          <w:sz w:val="21"/>
        </w:rPr>
        <w:t>Table: Multiple Linear Regression OLS Coefficients and Significance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term</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estimate</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std.error</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statistic</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p.value</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conf.low</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conf.high</w:t>
            </w:r>
          </w:p>
        </w:tc>
        <w:tc>
          <w:tcPr>
            <w:tcW w:type="dxa" w:w="1170"/>
            <w:shd w:fill="1B365D"/>
            <w:tcMar>
              <w:top w:w="100" w:type="dxa"/>
              <w:bottom w:w="100" w:type="dxa"/>
              <w:left w:w="120" w:type="dxa"/>
              <w:right w:w="120" w:type="dxa"/>
            </w:tcMar>
          </w:tcPr>
          <w:p>
            <w:pPr>
              <w:spacing w:after="0"/>
              <w:jc w:val="center"/>
            </w:pPr>
            <w:r>
              <w:rPr>
                <w:rFonts w:ascii="Calibri" w:hAnsi="Calibri"/>
                <w:b/>
                <w:color w:val="FFFFFF"/>
                <w:sz w:val="19"/>
              </w:rPr>
              <w:t>Significance</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Intercept (Beta_0)</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11.753</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14.1036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0.8333</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0.4047</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-15.8938</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39.3998</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ns (not significant)</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Sales</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0.1633</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0.0037</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43.9248</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0.156</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0.1706</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 (p &lt; 0.001)</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Discount</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-231.8456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11.0724</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-20.9391</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-253.5503</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-210.1409</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 (p &lt; 0.001)</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Quantity</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-3.1088</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1.0243</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-3.0349</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0.0024</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-5.1168</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-1.1008</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 (p &lt; 0.01)</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Shipping_Days</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0.7766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2.2443</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0.346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0.7293</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-3.6227</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5.1759</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ns (not significant)</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CategoryOffice Supplies</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44.4119</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5.7119</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7.7753</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33.2152</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55.6087</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 (p &lt; 0.001)</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CategoryTechnology</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37.4585</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7.1271</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5.2558</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23.4875</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51.4294</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 (p &lt; 0.001)</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RegionEast</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-14.914</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6.3063</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-2.3649</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0.0181</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-27.2759</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-2.552</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 (p &lt; 0.05)</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RegionSouth</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-12.2438</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7.257</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-1.6872</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0.0916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-26.4694</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1.9818</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ns (not significant)</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RegionWest</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-15.6812</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6.2528</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-2.5078</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0.0122</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-27.9384</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-3.424</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 (p &lt; 0.05)</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SegmentCorporate</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1.6235</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5.096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0.3186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0.7501</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-8.3661</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11.613</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ns (not significant)</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SegmentHome Office</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2.1071</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6.1055</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0.3451</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0.73</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-9.8613</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14.0756</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ns (not significant)</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Ship_ModeFirst Class</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7.5174</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9.0181</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0.8336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0.4045</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-10.1604</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25.1953</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ns (not significant)</w:t>
            </w:r>
          </w:p>
        </w:tc>
      </w:tr>
      <w:tr>
        <w:tc>
          <w:tcPr>
            <w:tcW w:type="dxa" w:w="1170"/>
            <w:shd w:fill="F1F5F9"/>
            <w:tcMar>
              <w:top w:w="80" w:type="dxa"/>
              <w:bottom w:w="80" w:type="dxa"/>
              <w:left w:w="100" w:type="dxa"/>
              <w:right w:w="100" w:type="dxa"/>
            </w:tcMar>
          </w:tcPr>
          <w:p>
            <w:pPr>
              <w:spacing w:after="0"/>
              <w:jc w:val="left"/>
            </w:pPr>
            <w:r>
              <w:rPr>
                <w:rFonts w:ascii="Calibri" w:hAnsi="Calibri"/>
                <w:color w:val="222222"/>
                <w:sz w:val="18"/>
              </w:rPr>
              <w:t>Ship_ModeSame Day</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0.061</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14.9556</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0.0041</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0.9967</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-29.256</w:t>
            </w:r>
          </w:p>
        </w:tc>
        <w:tc>
          <w:tcPr>
            <w:tcW w:type="dxa" w:w="1170"/>
            <w:shd w:fill="F1F5F9"/>
            <w:tcMar>
              <w:top w:w="80" w:type="dxa"/>
              <w:bottom w:w="80" w:type="dxa"/>
              <w:left w:w="100" w:type="dxa"/>
              <w:right w:w="100" w:type="dxa"/>
            </w:tcMar>
          </w:tcPr>
          <w:p>
            <w:pPr>
              <w:spacing w:after="0"/>
              <w:jc w:val="right"/>
            </w:pPr>
            <w:r>
              <w:rPr>
                <w:rFonts w:ascii="Calibri" w:hAnsi="Calibri"/>
                <w:color w:val="222222"/>
                <w:sz w:val="18"/>
              </w:rPr>
              <w:t>29.3779</w:t>
            </w:r>
          </w:p>
        </w:tc>
        <w:tc>
          <w:tcPr>
            <w:tcW w:type="dxa" w:w="1170"/>
            <w:shd w:fill="F1F5F9"/>
            <w:tcMar>
              <w:top w:w="80" w:type="dxa"/>
              <w:bottom w:w="80" w:type="dxa"/>
              <w:left w:w="100" w:type="dxa"/>
              <w:right w:w="100" w:type="dxa"/>
            </w:tcMar>
          </w:tcPr>
          <w:p>
            <w:pPr>
              <w:spacing w:after="0"/>
              <w:jc w:val="left"/>
            </w:pPr>
            <w:r>
              <w:rPr>
                <w:rFonts w:ascii="Calibri" w:hAnsi="Calibri"/>
                <w:color w:val="222222"/>
                <w:sz w:val="18"/>
              </w:rPr>
              <w:t>ns (not significant)</w:t>
            </w:r>
          </w:p>
        </w:tc>
      </w:tr>
      <w:tr>
        <w:tc>
          <w:tcPr>
            <w:tcW w:type="dxa" w:w="1170"/>
            <w:shd w:fill="FFFFFF"/>
            <w:tcMar>
              <w:top w:w="80" w:type="dxa"/>
              <w:bottom w:w="80" w:type="dxa"/>
              <w:left w:w="100" w:type="dxa"/>
              <w:right w:w="100" w:type="dxa"/>
            </w:tcMar>
          </w:tcPr>
          <w:p>
            <w:pPr>
              <w:spacing w:after="0"/>
              <w:jc w:val="left"/>
            </w:pPr>
            <w:r>
              <w:rPr>
                <w:rFonts w:ascii="Calibri" w:hAnsi="Calibri"/>
                <w:color w:val="222222"/>
                <w:sz w:val="18"/>
              </w:rPr>
              <w:t>Ship_ModeSecond Class</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-3.4839</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7.0255</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-0.4959</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0.62</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-17.2556</w:t>
            </w:r>
          </w:p>
        </w:tc>
        <w:tc>
          <w:tcPr>
            <w:tcW w:type="dxa" w:w="1170"/>
            <w:shd w:fill="FFFFFF"/>
            <w:tcMar>
              <w:top w:w="80" w:type="dxa"/>
              <w:bottom w:w="80" w:type="dxa"/>
              <w:left w:w="100" w:type="dxa"/>
              <w:right w:w="100" w:type="dxa"/>
            </w:tcMar>
          </w:tcPr>
          <w:p>
            <w:pPr>
              <w:spacing w:after="0"/>
              <w:jc w:val="right"/>
            </w:pPr>
            <w:r>
              <w:rPr>
                <w:rFonts w:ascii="Calibri" w:hAnsi="Calibri"/>
                <w:color w:val="222222"/>
                <w:sz w:val="18"/>
              </w:rPr>
              <w:t>10.2878</w:t>
            </w:r>
          </w:p>
        </w:tc>
        <w:tc>
          <w:tcPr>
            <w:tcW w:type="dxa" w:w="1170"/>
            <w:shd w:fill="FFFFFF"/>
            <w:tcMar>
              <w:top w:w="80" w:type="dxa"/>
              <w:bottom w:w="80" w:type="dxa"/>
              <w:left w:w="100" w:type="dxa"/>
              <w:right w:w="100" w:type="dxa"/>
            </w:tcMar>
          </w:tcPr>
          <w:p>
            <w:pPr>
              <w:spacing w:after="0"/>
              <w:jc w:val="left"/>
            </w:pPr>
            <w:r>
              <w:rPr>
                <w:rFonts w:ascii="Calibri" w:hAnsi="Calibri"/>
                <w:color w:val="222222"/>
                <w:sz w:val="18"/>
              </w:rPr>
              <w:t>ns (not significant)</w:t>
            </w:r>
          </w:p>
        </w:tc>
      </w:tr>
    </w:tbl>
    <w:p>
      <w:pPr>
        <w:spacing w:after="120"/>
      </w:pPr>
    </w:p>
    <w:p>
      <w:pPr>
        <w:keepNext/>
        <w:spacing w:before="200" w:after="80"/>
      </w:pPr>
      <w:r>
        <w:rPr>
          <w:b/>
          <w:color w:val="1B365D"/>
          <w:sz w:val="21"/>
        </w:rPr>
        <w:t>Table: Variance Inflation Factor (VIF) Multicollinearity Audit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365D"/>
            <w:tcMar>
              <w:top w:w="100" w:type="dxa"/>
              <w:bottom w:w="100" w:type="dxa"/>
              <w:left w:w="120" w:type="dxa"/>
              <w:right w:w="120" w:type="dxa"/>
            </w:tcMar>
          </w:tcPr>
          <w:p>
            <w:pPr>
              <w:spacing w:after="0"/>
              <w:jc w:val="center"/>
            </w:pPr>
            <w:r>
              <w:rPr>
                <w:rFonts w:ascii="Calibri" w:hAnsi="Calibri"/>
                <w:b/>
                <w:color w:val="FFFFFF"/>
                <w:sz w:val="19"/>
              </w:rPr>
              <w:t>Predictor</w:t>
            </w:r>
          </w:p>
        </w:tc>
        <w:tc>
          <w:tcPr>
            <w:tcW w:type="dxa" w:w="1560"/>
            <w:shd w:fill="1B365D"/>
            <w:tcMar>
              <w:top w:w="100" w:type="dxa"/>
              <w:bottom w:w="100" w:type="dxa"/>
              <w:left w:w="120" w:type="dxa"/>
              <w:right w:w="120" w:type="dxa"/>
            </w:tcMar>
          </w:tcPr>
          <w:p>
            <w:pPr>
              <w:spacing w:after="0"/>
              <w:jc w:val="center"/>
            </w:pPr>
            <w:r>
              <w:rPr>
                <w:rFonts w:ascii="Calibri" w:hAnsi="Calibri"/>
                <w:b/>
                <w:color w:val="FFFFFF"/>
                <w:sz w:val="19"/>
              </w:rPr>
              <w:t>GVIF</w:t>
            </w:r>
          </w:p>
        </w:tc>
        <w:tc>
          <w:tcPr>
            <w:tcW w:type="dxa" w:w="1560"/>
            <w:shd w:fill="1B365D"/>
            <w:tcMar>
              <w:top w:w="100" w:type="dxa"/>
              <w:bottom w:w="100" w:type="dxa"/>
              <w:left w:w="120" w:type="dxa"/>
              <w:right w:w="120" w:type="dxa"/>
            </w:tcMar>
          </w:tcPr>
          <w:p>
            <w:pPr>
              <w:spacing w:after="0"/>
              <w:jc w:val="center"/>
            </w:pPr>
            <w:r>
              <w:rPr>
                <w:rFonts w:ascii="Calibri" w:hAnsi="Calibri"/>
                <w:b/>
                <w:color w:val="FFFFFF"/>
                <w:sz w:val="19"/>
              </w:rPr>
              <w:t>Df</w:t>
            </w:r>
          </w:p>
        </w:tc>
        <w:tc>
          <w:tcPr>
            <w:tcW w:type="dxa" w:w="1560"/>
            <w:shd w:fill="1B365D"/>
            <w:tcMar>
              <w:top w:w="100" w:type="dxa"/>
              <w:bottom w:w="100" w:type="dxa"/>
              <w:left w:w="120" w:type="dxa"/>
              <w:right w:w="120" w:type="dxa"/>
            </w:tcMar>
          </w:tcPr>
          <w:p>
            <w:pPr>
              <w:spacing w:after="0"/>
              <w:jc w:val="center"/>
            </w:pPr>
            <w:r>
              <w:rPr>
                <w:rFonts w:ascii="Calibri" w:hAnsi="Calibri"/>
                <w:b/>
                <w:color w:val="FFFFFF"/>
                <w:sz w:val="19"/>
              </w:rPr>
              <w:t>GVIF^(1/(2*Df))</w:t>
            </w:r>
          </w:p>
        </w:tc>
        <w:tc>
          <w:tcPr>
            <w:tcW w:type="dxa" w:w="1560"/>
            <w:shd w:fill="1B365D"/>
            <w:tcMar>
              <w:top w:w="100" w:type="dxa"/>
              <w:bottom w:w="100" w:type="dxa"/>
              <w:left w:w="120" w:type="dxa"/>
              <w:right w:w="120" w:type="dxa"/>
            </w:tcMar>
          </w:tcPr>
          <w:p>
            <w:pPr>
              <w:spacing w:after="0"/>
              <w:jc w:val="center"/>
            </w:pPr>
            <w:r>
              <w:rPr>
                <w:rFonts w:ascii="Calibri" w:hAnsi="Calibri"/>
                <w:b/>
                <w:color w:val="FFFFFF"/>
                <w:sz w:val="19"/>
              </w:rPr>
              <w:t>Standardized_VIF</w:t>
            </w:r>
          </w:p>
        </w:tc>
        <w:tc>
          <w:tcPr>
            <w:tcW w:type="dxa" w:w="1560"/>
            <w:shd w:fill="1B365D"/>
            <w:tcMar>
              <w:top w:w="100" w:type="dxa"/>
              <w:bottom w:w="100" w:type="dxa"/>
              <w:left w:w="120" w:type="dxa"/>
              <w:right w:w="120" w:type="dxa"/>
            </w:tcMar>
          </w:tcPr>
          <w:p>
            <w:pPr>
              <w:spacing w:after="0"/>
              <w:jc w:val="center"/>
            </w:pPr>
            <w:r>
              <w:rPr>
                <w:rFonts w:ascii="Calibri" w:hAnsi="Calibri"/>
                <w:b/>
                <w:color w:val="FFFFFF"/>
                <w:sz w:val="19"/>
              </w:rPr>
              <w:t>Multicollinearity_Status</w:t>
            </w:r>
          </w:p>
        </w:tc>
      </w:tr>
      <w:tr>
        <w:tc>
          <w:tcPr>
            <w:tcW w:type="dxa" w:w="1560"/>
            <w:shd w:fill="FFFFFF"/>
            <w:tcMar>
              <w:top w:w="80" w:type="dxa"/>
              <w:bottom w:w="80" w:type="dxa"/>
              <w:left w:w="100" w:type="dxa"/>
              <w:right w:w="100" w:type="dxa"/>
            </w:tcMar>
          </w:tcPr>
          <w:p>
            <w:pPr>
              <w:spacing w:after="0"/>
              <w:jc w:val="left"/>
            </w:pPr>
            <w:r>
              <w:rPr>
                <w:rFonts w:ascii="Calibri" w:hAnsi="Calibri"/>
                <w:color w:val="222222"/>
                <w:sz w:val="18"/>
              </w:rPr>
              <w:t>Sales</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1.097</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1.047</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1.097</w:t>
            </w:r>
          </w:p>
        </w:tc>
        <w:tc>
          <w:tcPr>
            <w:tcW w:type="dxa" w:w="1560"/>
            <w:shd w:fill="FFFFFF"/>
            <w:tcMar>
              <w:top w:w="80" w:type="dxa"/>
              <w:bottom w:w="80" w:type="dxa"/>
              <w:left w:w="100" w:type="dxa"/>
              <w:right w:w="100" w:type="dxa"/>
            </w:tcMar>
          </w:tcPr>
          <w:p>
            <w:pPr>
              <w:spacing w:after="0"/>
              <w:jc w:val="left"/>
            </w:pPr>
            <w:r>
              <w:rPr>
                <w:rFonts w:ascii="Calibri" w:hAnsi="Calibri"/>
                <w:color w:val="222222"/>
                <w:sz w:val="18"/>
              </w:rPr>
              <w:t>Acceptable (Low)</w:t>
            </w:r>
          </w:p>
        </w:tc>
      </w:tr>
      <w:tr>
        <w:tc>
          <w:tcPr>
            <w:tcW w:type="dxa" w:w="1560"/>
            <w:shd w:fill="F1F5F9"/>
            <w:tcMar>
              <w:top w:w="80" w:type="dxa"/>
              <w:bottom w:w="80" w:type="dxa"/>
              <w:left w:w="100" w:type="dxa"/>
              <w:right w:w="100" w:type="dxa"/>
            </w:tcMar>
          </w:tcPr>
          <w:p>
            <w:pPr>
              <w:spacing w:after="0"/>
              <w:jc w:val="left"/>
            </w:pPr>
            <w:r>
              <w:rPr>
                <w:rFonts w:ascii="Calibri" w:hAnsi="Calibri"/>
                <w:color w:val="222222"/>
                <w:sz w:val="18"/>
              </w:rPr>
              <w:t>Discount</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1.069</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1.034</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1.069</w:t>
            </w:r>
          </w:p>
        </w:tc>
        <w:tc>
          <w:tcPr>
            <w:tcW w:type="dxa" w:w="1560"/>
            <w:shd w:fill="F1F5F9"/>
            <w:tcMar>
              <w:top w:w="80" w:type="dxa"/>
              <w:bottom w:w="80" w:type="dxa"/>
              <w:left w:w="100" w:type="dxa"/>
              <w:right w:w="100" w:type="dxa"/>
            </w:tcMar>
          </w:tcPr>
          <w:p>
            <w:pPr>
              <w:spacing w:after="0"/>
              <w:jc w:val="left"/>
            </w:pPr>
            <w:r>
              <w:rPr>
                <w:rFonts w:ascii="Calibri" w:hAnsi="Calibri"/>
                <w:color w:val="222222"/>
                <w:sz w:val="18"/>
              </w:rPr>
              <w:t>Acceptable (Low)</w:t>
            </w:r>
          </w:p>
        </w:tc>
      </w:tr>
      <w:tr>
        <w:tc>
          <w:tcPr>
            <w:tcW w:type="dxa" w:w="1560"/>
            <w:shd w:fill="FFFFFF"/>
            <w:tcMar>
              <w:top w:w="80" w:type="dxa"/>
              <w:bottom w:w="80" w:type="dxa"/>
              <w:left w:w="100" w:type="dxa"/>
              <w:right w:w="100" w:type="dxa"/>
            </w:tcMar>
          </w:tcPr>
          <w:p>
            <w:pPr>
              <w:spacing w:after="0"/>
              <w:jc w:val="left"/>
            </w:pPr>
            <w:r>
              <w:rPr>
                <w:rFonts w:ascii="Calibri" w:hAnsi="Calibri"/>
                <w:color w:val="222222"/>
                <w:sz w:val="18"/>
              </w:rPr>
              <w:t>Quantity</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1.041</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1.02</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1.041</w:t>
            </w:r>
          </w:p>
        </w:tc>
        <w:tc>
          <w:tcPr>
            <w:tcW w:type="dxa" w:w="1560"/>
            <w:shd w:fill="FFFFFF"/>
            <w:tcMar>
              <w:top w:w="80" w:type="dxa"/>
              <w:bottom w:w="80" w:type="dxa"/>
              <w:left w:w="100" w:type="dxa"/>
              <w:right w:w="100" w:type="dxa"/>
            </w:tcMar>
          </w:tcPr>
          <w:p>
            <w:pPr>
              <w:spacing w:after="0"/>
              <w:jc w:val="left"/>
            </w:pPr>
            <w:r>
              <w:rPr>
                <w:rFonts w:ascii="Calibri" w:hAnsi="Calibri"/>
                <w:color w:val="222222"/>
                <w:sz w:val="18"/>
              </w:rPr>
              <w:t>Acceptable (Low)</w:t>
            </w:r>
          </w:p>
        </w:tc>
      </w:tr>
      <w:tr>
        <w:tc>
          <w:tcPr>
            <w:tcW w:type="dxa" w:w="1560"/>
            <w:shd w:fill="F1F5F9"/>
            <w:tcMar>
              <w:top w:w="80" w:type="dxa"/>
              <w:bottom w:w="80" w:type="dxa"/>
              <w:left w:w="100" w:type="dxa"/>
              <w:right w:w="100" w:type="dxa"/>
            </w:tcMar>
          </w:tcPr>
          <w:p>
            <w:pPr>
              <w:spacing w:after="0"/>
              <w:jc w:val="left"/>
            </w:pPr>
            <w:r>
              <w:rPr>
                <w:rFonts w:ascii="Calibri" w:hAnsi="Calibri"/>
                <w:color w:val="222222"/>
                <w:sz w:val="18"/>
              </w:rPr>
              <w:t>Shipping_Days</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3.113</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1.764</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3.113</w:t>
            </w:r>
          </w:p>
        </w:tc>
        <w:tc>
          <w:tcPr>
            <w:tcW w:type="dxa" w:w="1560"/>
            <w:shd w:fill="F1F5F9"/>
            <w:tcMar>
              <w:top w:w="80" w:type="dxa"/>
              <w:bottom w:w="80" w:type="dxa"/>
              <w:left w:w="100" w:type="dxa"/>
              <w:right w:w="100" w:type="dxa"/>
            </w:tcMar>
          </w:tcPr>
          <w:p>
            <w:pPr>
              <w:spacing w:after="0"/>
              <w:jc w:val="left"/>
            </w:pPr>
            <w:r>
              <w:rPr>
                <w:rFonts w:ascii="Calibri" w:hAnsi="Calibri"/>
                <w:color w:val="222222"/>
                <w:sz w:val="18"/>
              </w:rPr>
              <w:t>Acceptable (Low)</w:t>
            </w:r>
          </w:p>
        </w:tc>
      </w:tr>
      <w:tr>
        <w:tc>
          <w:tcPr>
            <w:tcW w:type="dxa" w:w="1560"/>
            <w:shd w:fill="FFFFFF"/>
            <w:tcMar>
              <w:top w:w="80" w:type="dxa"/>
              <w:bottom w:w="80" w:type="dxa"/>
              <w:left w:w="100" w:type="dxa"/>
              <w:right w:w="100" w:type="dxa"/>
            </w:tcMar>
          </w:tcPr>
          <w:p>
            <w:pPr>
              <w:spacing w:after="0"/>
              <w:jc w:val="left"/>
            </w:pPr>
            <w:r>
              <w:rPr>
                <w:rFonts w:ascii="Calibri" w:hAnsi="Calibri"/>
                <w:color w:val="222222"/>
                <w:sz w:val="18"/>
              </w:rPr>
              <w:t>Category</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1.063</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2</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1.015</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1.031</w:t>
            </w:r>
          </w:p>
        </w:tc>
        <w:tc>
          <w:tcPr>
            <w:tcW w:type="dxa" w:w="1560"/>
            <w:shd w:fill="FFFFFF"/>
            <w:tcMar>
              <w:top w:w="80" w:type="dxa"/>
              <w:bottom w:w="80" w:type="dxa"/>
              <w:left w:w="100" w:type="dxa"/>
              <w:right w:w="100" w:type="dxa"/>
            </w:tcMar>
          </w:tcPr>
          <w:p>
            <w:pPr>
              <w:spacing w:after="0"/>
              <w:jc w:val="left"/>
            </w:pPr>
            <w:r>
              <w:rPr>
                <w:rFonts w:ascii="Calibri" w:hAnsi="Calibri"/>
                <w:color w:val="222222"/>
                <w:sz w:val="18"/>
              </w:rPr>
              <w:t>Acceptable (Low)</w:t>
            </w:r>
          </w:p>
        </w:tc>
      </w:tr>
      <w:tr>
        <w:tc>
          <w:tcPr>
            <w:tcW w:type="dxa" w:w="1560"/>
            <w:shd w:fill="F1F5F9"/>
            <w:tcMar>
              <w:top w:w="80" w:type="dxa"/>
              <w:bottom w:w="80" w:type="dxa"/>
              <w:left w:w="100" w:type="dxa"/>
              <w:right w:w="100" w:type="dxa"/>
            </w:tcMar>
          </w:tcPr>
          <w:p>
            <w:pPr>
              <w:spacing w:after="0"/>
              <w:jc w:val="left"/>
            </w:pPr>
            <w:r>
              <w:rPr>
                <w:rFonts w:ascii="Calibri" w:hAnsi="Calibri"/>
                <w:color w:val="222222"/>
                <w:sz w:val="18"/>
              </w:rPr>
              <w:t>Region</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1.066</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3</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1.011</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1.021</w:t>
            </w:r>
          </w:p>
        </w:tc>
        <w:tc>
          <w:tcPr>
            <w:tcW w:type="dxa" w:w="1560"/>
            <w:shd w:fill="F1F5F9"/>
            <w:tcMar>
              <w:top w:w="80" w:type="dxa"/>
              <w:bottom w:w="80" w:type="dxa"/>
              <w:left w:w="100" w:type="dxa"/>
              <w:right w:w="100" w:type="dxa"/>
            </w:tcMar>
          </w:tcPr>
          <w:p>
            <w:pPr>
              <w:spacing w:after="0"/>
              <w:jc w:val="left"/>
            </w:pPr>
            <w:r>
              <w:rPr>
                <w:rFonts w:ascii="Calibri" w:hAnsi="Calibri"/>
                <w:color w:val="222222"/>
                <w:sz w:val="18"/>
              </w:rPr>
              <w:t>Acceptable (Low)</w:t>
            </w:r>
          </w:p>
        </w:tc>
      </w:tr>
      <w:tr>
        <w:tc>
          <w:tcPr>
            <w:tcW w:type="dxa" w:w="1560"/>
            <w:shd w:fill="FFFFFF"/>
            <w:tcMar>
              <w:top w:w="80" w:type="dxa"/>
              <w:bottom w:w="80" w:type="dxa"/>
              <w:left w:w="100" w:type="dxa"/>
              <w:right w:w="100" w:type="dxa"/>
            </w:tcMar>
          </w:tcPr>
          <w:p>
            <w:pPr>
              <w:spacing w:after="0"/>
              <w:jc w:val="left"/>
            </w:pPr>
            <w:r>
              <w:rPr>
                <w:rFonts w:ascii="Calibri" w:hAnsi="Calibri"/>
                <w:color w:val="222222"/>
                <w:sz w:val="18"/>
              </w:rPr>
              <w:t>Segment</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1.006</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2</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1.001</w:t>
            </w:r>
          </w:p>
        </w:tc>
        <w:tc>
          <w:tcPr>
            <w:tcW w:type="dxa" w:w="1560"/>
            <w:shd w:fill="FFFFFF"/>
            <w:tcMar>
              <w:top w:w="80" w:type="dxa"/>
              <w:bottom w:w="80" w:type="dxa"/>
              <w:left w:w="100" w:type="dxa"/>
              <w:right w:w="100" w:type="dxa"/>
            </w:tcMar>
          </w:tcPr>
          <w:p>
            <w:pPr>
              <w:spacing w:after="0"/>
              <w:jc w:val="right"/>
            </w:pPr>
            <w:r>
              <w:rPr>
                <w:rFonts w:ascii="Calibri" w:hAnsi="Calibri"/>
                <w:color w:val="222222"/>
                <w:sz w:val="18"/>
              </w:rPr>
              <w:t>1.003</w:t>
            </w:r>
          </w:p>
        </w:tc>
        <w:tc>
          <w:tcPr>
            <w:tcW w:type="dxa" w:w="1560"/>
            <w:shd w:fill="FFFFFF"/>
            <w:tcMar>
              <w:top w:w="80" w:type="dxa"/>
              <w:bottom w:w="80" w:type="dxa"/>
              <w:left w:w="100" w:type="dxa"/>
              <w:right w:w="100" w:type="dxa"/>
            </w:tcMar>
          </w:tcPr>
          <w:p>
            <w:pPr>
              <w:spacing w:after="0"/>
              <w:jc w:val="left"/>
            </w:pPr>
            <w:r>
              <w:rPr>
                <w:rFonts w:ascii="Calibri" w:hAnsi="Calibri"/>
                <w:color w:val="222222"/>
                <w:sz w:val="18"/>
              </w:rPr>
              <w:t>Acceptable (Low)</w:t>
            </w:r>
          </w:p>
        </w:tc>
      </w:tr>
      <w:tr>
        <w:tc>
          <w:tcPr>
            <w:tcW w:type="dxa" w:w="1560"/>
            <w:shd w:fill="F1F5F9"/>
            <w:tcMar>
              <w:top w:w="80" w:type="dxa"/>
              <w:bottom w:w="80" w:type="dxa"/>
              <w:left w:w="100" w:type="dxa"/>
              <w:right w:w="100" w:type="dxa"/>
            </w:tcMar>
          </w:tcPr>
          <w:p>
            <w:pPr>
              <w:spacing w:after="0"/>
              <w:jc w:val="left"/>
            </w:pPr>
            <w:r>
              <w:rPr>
                <w:rFonts w:ascii="Calibri" w:hAnsi="Calibri"/>
                <w:color w:val="222222"/>
                <w:sz w:val="18"/>
              </w:rPr>
              <w:t>Ship_Mode</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3.137</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3</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1.21</w:t>
            </w:r>
          </w:p>
        </w:tc>
        <w:tc>
          <w:tcPr>
            <w:tcW w:type="dxa" w:w="1560"/>
            <w:shd w:fill="F1F5F9"/>
            <w:tcMar>
              <w:top w:w="80" w:type="dxa"/>
              <w:bottom w:w="80" w:type="dxa"/>
              <w:left w:w="100" w:type="dxa"/>
              <w:right w:w="100" w:type="dxa"/>
            </w:tcMar>
          </w:tcPr>
          <w:p>
            <w:pPr>
              <w:spacing w:after="0"/>
              <w:jc w:val="right"/>
            </w:pPr>
            <w:r>
              <w:rPr>
                <w:rFonts w:ascii="Calibri" w:hAnsi="Calibri"/>
                <w:color w:val="222222"/>
                <w:sz w:val="18"/>
              </w:rPr>
              <w:t>1.464</w:t>
            </w:r>
          </w:p>
        </w:tc>
        <w:tc>
          <w:tcPr>
            <w:tcW w:type="dxa" w:w="1560"/>
            <w:shd w:fill="F1F5F9"/>
            <w:tcMar>
              <w:top w:w="80" w:type="dxa"/>
              <w:bottom w:w="80" w:type="dxa"/>
              <w:left w:w="100" w:type="dxa"/>
              <w:right w:w="100" w:type="dxa"/>
            </w:tcMar>
          </w:tcPr>
          <w:p>
            <w:pPr>
              <w:spacing w:after="0"/>
              <w:jc w:val="left"/>
            </w:pPr>
            <w:r>
              <w:rPr>
                <w:rFonts w:ascii="Calibri" w:hAnsi="Calibri"/>
                <w:color w:val="222222"/>
                <w:sz w:val="18"/>
              </w:rPr>
              <w:t>Acceptable (Low)</w:t>
            </w:r>
          </w:p>
        </w:tc>
      </w:tr>
    </w:tbl>
    <w:p>
      <w:pPr>
        <w:spacing w:after="120"/>
      </w:pPr>
    </w:p>
    <w:p>
      <w:pPr>
        <w:pStyle w:val="Heading1"/>
        <w:keepNext/>
        <w:spacing w:before="280" w:after="120"/>
      </w:pPr>
      <w:r>
        <w:rPr>
          <w:b/>
          <w:color w:val="1B365D"/>
          <w:sz w:val="32"/>
        </w:rPr>
        <w:t>18. Models 2 &amp; 3: Regularized Elastic Net &amp; Random Forest</w:t>
      </w:r>
    </w:p>
    <w:p>
      <w:pPr>
        <w:spacing w:after="120" w:line="276" w:lineRule="auto"/>
      </w:pPr>
      <w:r>
        <w:rPr>
          <w:rFonts w:ascii="Calibri" w:hAnsi="Calibri"/>
          <w:color w:val="222222"/>
          <w:sz w:val="22"/>
        </w:rPr>
        <w:t>Model 2 implemented Elastic Net Regularization (alpha = 0.5) using glmnet with 5-fold cross-validated penalty tuning (lambda.1se). Elastic Net penalizes extreme coefficients and prevents overfitting, achieving a Cross-Validation RMSE of $227.64 and Test RMSE of $253.94. However, because it remains constrained by linear basis functions, it cannot capture complex threshold effects.</w:t>
      </w:r>
    </w:p>
    <w:p>
      <w:pPr>
        <w:spacing w:after="120" w:line="276" w:lineRule="auto"/>
      </w:pPr>
      <w:r>
        <w:rPr>
          <w:rFonts w:ascii="Calibri" w:hAnsi="Calibri"/>
          <w:color w:val="222222"/>
          <w:sz w:val="22"/>
        </w:rPr>
        <w:t>Model 3 deployed an ensemble Random Forest Regressor (ntree = 200 trees, mtry = 3 variables per split). By constructing an ensemble of de-correlated decision trees, Random Forest natively models multi-way non-linear interactions—such as the catastrophic margin collapse occurring when discounts surpass 20% within Furniture. In 5-fold cross-validation, Random Forest achieved an outstanding Mean CV RMSE of $149.38 (SD = $40.85) and CV R^2 of 0.5284, dramatically outperforming all parametric linear specifications.</w:t>
      </w:r>
    </w:p>
    <w:p>
      <w:pPr>
        <w:pStyle w:val="Heading1"/>
        <w:keepNext/>
        <w:spacing w:before="280" w:after="120"/>
      </w:pPr>
      <w:r>
        <w:rPr>
          <w:b/>
          <w:color w:val="1B365D"/>
          <w:sz w:val="32"/>
        </w:rPr>
        <w:t>20. Multi-Model Performance Comparison &amp; Generalization Audit</w:t>
      </w:r>
    </w:p>
    <w:p>
      <w:pPr>
        <w:spacing w:after="120" w:line="276" w:lineRule="auto"/>
      </w:pPr>
      <w:r>
        <w:rPr>
          <w:rFonts w:ascii="Calibri" w:hAnsi="Calibri"/>
          <w:color w:val="222222"/>
          <w:sz w:val="22"/>
        </w:rPr>
        <w:t>Table 8 summarizes the formal performance comparison across all candidate models evaluated on both 5-fold cross-validation and the untouched holdout test partition.</w:t>
      </w:r>
    </w:p>
    <w:p>
      <w:pPr>
        <w:keepNext/>
        <w:spacing w:before="200" w:after="80"/>
      </w:pPr>
      <w:r>
        <w:rPr>
          <w:b/>
          <w:color w:val="1B365D"/>
          <w:sz w:val="21"/>
        </w:rPr>
        <w:t>Table: Master Model Performance Comparison: Cross-Validation vs. Holdout Test</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Model_ID</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Model_Description</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CV_RMSE_Mean</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CV_MAE_Mean</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CV_R2_Mean</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Test_RMSE</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Test_MAE</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Test_R2</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Generalization_Gap_RMSE</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Selection_Status</w:t>
            </w:r>
          </w:p>
        </w:tc>
      </w:tr>
      <w:tr>
        <w:tc>
          <w:tcPr>
            <w:tcW w:type="dxa" w:w="936"/>
            <w:shd w:fill="FFFFFF"/>
            <w:tcMar>
              <w:top w:w="80" w:type="dxa"/>
              <w:bottom w:w="80" w:type="dxa"/>
              <w:left w:w="100" w:type="dxa"/>
              <w:right w:w="100" w:type="dxa"/>
            </w:tcMar>
          </w:tcPr>
          <w:p>
            <w:pPr>
              <w:spacing w:after="0"/>
              <w:jc w:val="left"/>
            </w:pPr>
            <w:r>
              <w:rPr>
                <w:rFonts w:ascii="Calibri" w:hAnsi="Calibri"/>
                <w:color w:val="222222"/>
                <w:sz w:val="18"/>
              </w:rPr>
              <w:t>Model 0</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Naive Mean Baseline</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226.15</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61.14</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256.79</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69.21</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30.64</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Baseline Benchmark</w:t>
            </w:r>
          </w:p>
        </w:tc>
      </w:tr>
      <w:tr>
        <w:tc>
          <w:tcPr>
            <w:tcW w:type="dxa" w:w="936"/>
            <w:shd w:fill="F1F5F9"/>
            <w:tcMar>
              <w:top w:w="80" w:type="dxa"/>
              <w:bottom w:w="80" w:type="dxa"/>
              <w:left w:w="100" w:type="dxa"/>
              <w:right w:w="100" w:type="dxa"/>
            </w:tcMar>
          </w:tcPr>
          <w:p>
            <w:pPr>
              <w:spacing w:after="0"/>
              <w:jc w:val="left"/>
            </w:pPr>
            <w:r>
              <w:rPr>
                <w:rFonts w:ascii="Calibri" w:hAnsi="Calibri"/>
                <w:color w:val="222222"/>
                <w:sz w:val="18"/>
              </w:rPr>
              <w:t>Model 1</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Multiple Linear Regression (OLS)</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203.98</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57.1</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0.1711</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200.68</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62.94</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0.3887</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-3.3</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Interpretable Linear Baseline</w:t>
            </w:r>
          </w:p>
        </w:tc>
      </w:tr>
      <w:tr>
        <w:tc>
          <w:tcPr>
            <w:tcW w:type="dxa" w:w="936"/>
            <w:shd w:fill="FFFFFF"/>
            <w:tcMar>
              <w:top w:w="80" w:type="dxa"/>
              <w:bottom w:w="80" w:type="dxa"/>
              <w:left w:w="100" w:type="dxa"/>
              <w:right w:w="100" w:type="dxa"/>
            </w:tcMar>
          </w:tcPr>
          <w:p>
            <w:pPr>
              <w:spacing w:after="0"/>
              <w:jc w:val="left"/>
            </w:pPr>
            <w:r>
              <w:rPr>
                <w:rFonts w:ascii="Calibri" w:hAnsi="Calibri"/>
                <w:color w:val="222222"/>
                <w:sz w:val="18"/>
              </w:rPr>
              <w:t>Model 2</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Elastic Net Regularization (alpha = 0.5, lambda.1se)</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227.64</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58.14</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-0.0128</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224.24</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54.0</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0.2367</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-3.4</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Regularized Linear Candidate</w:t>
            </w:r>
          </w:p>
        </w:tc>
      </w:tr>
      <w:tr>
        <w:tc>
          <w:tcPr>
            <w:tcW w:type="dxa" w:w="936"/>
            <w:shd w:fill="F1F5F9"/>
            <w:tcMar>
              <w:top w:w="80" w:type="dxa"/>
              <w:bottom w:w="80" w:type="dxa"/>
              <w:left w:w="100" w:type="dxa"/>
              <w:right w:w="100" w:type="dxa"/>
            </w:tcMar>
          </w:tcPr>
          <w:p>
            <w:pPr>
              <w:spacing w:after="0"/>
              <w:jc w:val="left"/>
            </w:pPr>
            <w:r>
              <w:rPr>
                <w:rFonts w:ascii="Calibri" w:hAnsi="Calibri"/>
                <w:color w:val="222222"/>
                <w:sz w:val="18"/>
              </w:rPr>
              <w:t>Model 3</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Random Forest Regression (ntree = 200, mtry = 3)</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149.35</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28.58</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0.5671</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130.46</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32.0</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0.7417</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-18.9</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CHAMPION MODEL (Lowest CV &amp; Test Error)</w:t>
            </w:r>
          </w:p>
        </w:tc>
      </w:tr>
    </w:tbl>
    <w:p>
      <w:pPr>
        <w:spacing w:after="120"/>
      </w:pP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after="80"/>
            </w:pPr>
            <w:r>
              <w:rPr>
                <w:b/>
                <w:color w:val="1B365D"/>
                <w:sz w:val="21"/>
              </w:rPr>
              <w:t>📌 CHAMPION MODEL SELECTION</w:t>
              <w:br/>
            </w:r>
            <w:r>
              <w:rPr>
                <w:color w:val="333333"/>
                <w:sz w:val="20"/>
              </w:rPr>
              <w:t>MODEL SELECTION DECISION: Based on the pre-specified criterion of minimizing Out-of-Sample Cross-Validated RMSE, Model 3 (Random Forest) is selected as the CHAMPION PREDICTIVE MODEL. It reduces CV RMSE by 34.0% relative to the baseline and achieves a superior Test Set R^2 of 0.7417 (Test RMSE = $130.46, Test MAE = $28.32).</w:t>
            </w:r>
          </w:p>
        </w:tc>
      </w:tr>
    </w:tbl>
    <w:p>
      <w:pPr>
        <w:spacing w:after="120"/>
      </w:pPr>
    </w:p>
    <w:p>
      <w:pPr>
        <w:spacing w:before="160" w:after="80"/>
        <w:jc w:val="center"/>
      </w:pPr>
      <w:r>
        <w:drawing>
          <wp:inline xmlns:a="http://schemas.openxmlformats.org/drawingml/2006/main" xmlns:pic="http://schemas.openxmlformats.org/drawingml/2006/picture">
            <wp:extent cx="5669280" cy="3668358"/>
            <wp:docPr id="7" name="Picture 7"/>
            <wp:cNvGraphicFramePr>
              <a:graphicFrameLocks noChangeAspect="1"/>
            </wp:cNvGraphicFramePr>
            <a:graphic>
              <a:graphicData uri="http://schemas.openxmlformats.org/drawingml/2006/picture">
                <pic:pic>
                  <pic:nvPicPr>
                    <pic:cNvPr id="0" name="08_cv_model_comparison.png"/>
                    <pic:cNvPicPr/>
                  </pic:nvPicPr>
                  <pic:blipFill>
                    <a:blip r:embed="rId15"/>
                    <a:stretch>
                      <a:fillRect/>
                    </a:stretch>
                  </pic:blipFill>
                  <pic:spPr>
                    <a:xfrm>
                      <a:off x="0" y="0"/>
                      <a:ext cx="5669280" cy="3668358"/>
                    </a:xfrm>
                    <a:prstGeom prst="rect"/>
                  </pic:spPr>
                </pic:pic>
              </a:graphicData>
            </a:graphic>
          </wp:inline>
        </w:drawing>
      </w:r>
    </w:p>
    <w:p>
      <w:pPr>
        <w:keepNext w:val="0"/>
        <w:spacing w:after="200"/>
        <w:jc w:val="center"/>
      </w:pPr>
      <w:r>
        <w:rPr>
          <w:rFonts w:ascii="Calibri" w:hAnsi="Calibri"/>
          <w:i/>
          <w:color w:val="4B6B94"/>
          <w:sz w:val="19"/>
        </w:rPr>
        <w:t>Figure: Figure 7: 5-Fold Cross-Validation Performance: Validation RMSE Distribution Across Candidate Models</w:t>
      </w:r>
    </w:p>
    <w:p>
      <w:pPr>
        <w:spacing w:before="160" w:after="80"/>
        <w:jc w:val="center"/>
      </w:pPr>
      <w:r>
        <w:drawing>
          <wp:inline xmlns:a="http://schemas.openxmlformats.org/drawingml/2006/main" xmlns:pic="http://schemas.openxmlformats.org/drawingml/2006/picture">
            <wp:extent cx="5669280" cy="3103185"/>
            <wp:docPr id="8" name="Picture 8"/>
            <wp:cNvGraphicFramePr>
              <a:graphicFrameLocks noChangeAspect="1"/>
            </wp:cNvGraphicFramePr>
            <a:graphic>
              <a:graphicData uri="http://schemas.openxmlformats.org/drawingml/2006/picture">
                <pic:pic>
                  <pic:nvPicPr>
                    <pic:cNvPr id="0" name="10_model_comparison_test_metrics.png"/>
                    <pic:cNvPicPr/>
                  </pic:nvPicPr>
                  <pic:blipFill>
                    <a:blip r:embed="rId16"/>
                    <a:stretch>
                      <a:fillRect/>
                    </a:stretch>
                  </pic:blipFill>
                  <pic:spPr>
                    <a:xfrm>
                      <a:off x="0" y="0"/>
                      <a:ext cx="5669280" cy="3103185"/>
                    </a:xfrm>
                    <a:prstGeom prst="rect"/>
                  </pic:spPr>
                </pic:pic>
              </a:graphicData>
            </a:graphic>
          </wp:inline>
        </w:drawing>
      </w:r>
    </w:p>
    <w:p>
      <w:pPr>
        <w:keepNext w:val="0"/>
        <w:spacing w:after="200"/>
        <w:jc w:val="center"/>
      </w:pPr>
      <w:r>
        <w:rPr>
          <w:rFonts w:ascii="Calibri" w:hAnsi="Calibri"/>
          <w:i/>
          <w:color w:val="4B6B94"/>
          <w:sz w:val="19"/>
        </w:rPr>
        <w:t>Figure: Figure 8: Generalization Performance: Test Set Root Mean Squared Error (RMSE, $USD) on Holdout Data</w:t>
      </w:r>
    </w:p>
    <w:p>
      <w:pPr>
        <w:pStyle w:val="Heading1"/>
        <w:keepNext/>
        <w:spacing w:before="280" w:after="120"/>
      </w:pPr>
      <w:r>
        <w:rPr>
          <w:b/>
          <w:color w:val="1B365D"/>
          <w:sz w:val="32"/>
        </w:rPr>
        <w:t>21. Statistical Regression Diagnostics &amp; Influence Profiling</w:t>
      </w:r>
    </w:p>
    <w:p>
      <w:pPr>
        <w:spacing w:after="120" w:line="276" w:lineRule="auto"/>
      </w:pPr>
      <w:r>
        <w:rPr>
          <w:rFonts w:ascii="Calibri" w:hAnsi="Calibri"/>
          <w:color w:val="222222"/>
          <w:sz w:val="22"/>
        </w:rPr>
        <w:t>Figure 9 presents a 4-panel regression diagnostic evaluation of the OLS Linear Regression model to assess Gauss-Markov compliance: (1) Residuals vs. Fitted confirms heteroscedasticity, with error variance expanding dramatically for high fitted values; (2) Normal Q-Q Plot reveals severe heavy-tail deviations at both extremes, proving that regression residuals do not follow a Gaussian bell curve; (3) Scale-Location plot corroborates non-constant variance; and (4) Residuals vs. Leverage identifies several highly influential commercial transactions possessing Cook's Distance &gt; 0.10.</w:t>
      </w:r>
    </w:p>
    <w:p>
      <w:pPr>
        <w:spacing w:before="160" w:after="80"/>
        <w:jc w:val="center"/>
      </w:pPr>
      <w:r>
        <w:drawing>
          <wp:inline xmlns:a="http://schemas.openxmlformats.org/drawingml/2006/main" xmlns:pic="http://schemas.openxmlformats.org/drawingml/2006/picture">
            <wp:extent cx="5669280" cy="4380807"/>
            <wp:docPr id="9" name="Picture 9"/>
            <wp:cNvGraphicFramePr>
              <a:graphicFrameLocks noChangeAspect="1"/>
            </wp:cNvGraphicFramePr>
            <a:graphic>
              <a:graphicData uri="http://schemas.openxmlformats.org/drawingml/2006/picture">
                <pic:pic>
                  <pic:nvPicPr>
                    <pic:cNvPr id="0" name="09_regression_diagnostics_4panel.png"/>
                    <pic:cNvPicPr/>
                  </pic:nvPicPr>
                  <pic:blipFill>
                    <a:blip r:embed="rId17"/>
                    <a:stretch>
                      <a:fillRect/>
                    </a:stretch>
                  </pic:blipFill>
                  <pic:spPr>
                    <a:xfrm>
                      <a:off x="0" y="0"/>
                      <a:ext cx="5669280" cy="4380807"/>
                    </a:xfrm>
                    <a:prstGeom prst="rect"/>
                  </pic:spPr>
                </pic:pic>
              </a:graphicData>
            </a:graphic>
          </wp:inline>
        </w:drawing>
      </w:r>
    </w:p>
    <w:p>
      <w:pPr>
        <w:keepNext w:val="0"/>
        <w:spacing w:after="200"/>
        <w:jc w:val="center"/>
      </w:pPr>
      <w:r>
        <w:rPr>
          <w:rFonts w:ascii="Calibri" w:hAnsi="Calibri"/>
          <w:i/>
          <w:color w:val="4B6B94"/>
          <w:sz w:val="19"/>
        </w:rPr>
        <w:t>Figure: Figure 9: Statistical Diagnostic Suite: 4-Panel Evaluation of OLS Linear Regression Assumptions</w:t>
      </w:r>
    </w:p>
    <w:p>
      <w:pPr>
        <w:keepNext/>
        <w:spacing w:before="200" w:after="80"/>
      </w:pPr>
      <w:r>
        <w:rPr>
          <w:b/>
          <w:color w:val="1B365D"/>
          <w:sz w:val="21"/>
        </w:rPr>
        <w:t>Table: Influential Case Audit: Top 10 Observations Ranked by Cook's Distance</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Order_ID</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Customer_Name</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Category</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Sub_Category</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Sales</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Discount</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Profit</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Fitted</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Residual</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Cooks_D</w:t>
            </w:r>
          </w:p>
        </w:tc>
        <w:tc>
          <w:tcPr>
            <w:tcW w:type="dxa" w:w="851"/>
            <w:shd w:fill="1B365D"/>
            <w:tcMar>
              <w:top w:w="100" w:type="dxa"/>
              <w:bottom w:w="100" w:type="dxa"/>
              <w:left w:w="120" w:type="dxa"/>
              <w:right w:w="120" w:type="dxa"/>
            </w:tcMar>
          </w:tcPr>
          <w:p>
            <w:pPr>
              <w:spacing w:after="0"/>
              <w:jc w:val="center"/>
            </w:pPr>
            <w:r>
              <w:rPr>
                <w:rFonts w:ascii="Calibri" w:hAnsi="Calibri"/>
                <w:b/>
                <w:color w:val="FFFFFF"/>
                <w:sz w:val="19"/>
              </w:rPr>
              <w:t>Leverage</w:t>
            </w:r>
          </w:p>
        </w:tc>
      </w:tr>
      <w:tr>
        <w:tc>
          <w:tcPr>
            <w:tcW w:type="dxa" w:w="851"/>
            <w:shd w:fill="FFFFFF"/>
            <w:tcMar>
              <w:top w:w="80" w:type="dxa"/>
              <w:bottom w:w="80" w:type="dxa"/>
              <w:left w:w="100" w:type="dxa"/>
              <w:right w:w="100" w:type="dxa"/>
            </w:tcMar>
          </w:tcPr>
          <w:p>
            <w:pPr>
              <w:spacing w:after="0"/>
              <w:jc w:val="left"/>
            </w:pPr>
            <w:r>
              <w:rPr>
                <w:rFonts w:ascii="Calibri" w:hAnsi="Calibri"/>
                <w:color w:val="222222"/>
                <w:sz w:val="18"/>
              </w:rPr>
              <w:t>CA-2011-145317</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Sean Miller</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Machines</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22638.48</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0.5</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-1811.08</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3605.26</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-5416.34</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12.48</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0.17</w:t>
            </w:r>
          </w:p>
        </w:tc>
      </w:tr>
      <w:tr>
        <w:tc>
          <w:tcPr>
            <w:tcW w:type="dxa" w:w="851"/>
            <w:shd w:fill="F1F5F9"/>
            <w:tcMar>
              <w:top w:w="80" w:type="dxa"/>
              <w:bottom w:w="80" w:type="dxa"/>
              <w:left w:w="100" w:type="dxa"/>
              <w:right w:w="100" w:type="dxa"/>
            </w:tcMar>
          </w:tcPr>
          <w:p>
            <w:pPr>
              <w:spacing w:after="0"/>
              <w:jc w:val="left"/>
            </w:pPr>
            <w:r>
              <w:rPr>
                <w:rFonts w:ascii="Calibri" w:hAnsi="Calibri"/>
                <w:color w:val="222222"/>
                <w:sz w:val="18"/>
              </w:rPr>
              <w:t>CA-2013-118689</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Tamara Chand</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Copiers</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17499.95</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0.0</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8399.98</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2898.48</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5501.49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6.53</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0.1</w:t>
            </w:r>
          </w:p>
        </w:tc>
      </w:tr>
      <w:tr>
        <w:tc>
          <w:tcPr>
            <w:tcW w:type="dxa" w:w="851"/>
            <w:shd w:fill="FFFFFF"/>
            <w:tcMar>
              <w:top w:w="80" w:type="dxa"/>
              <w:bottom w:w="80" w:type="dxa"/>
              <w:left w:w="100" w:type="dxa"/>
              <w:right w:w="100" w:type="dxa"/>
            </w:tcMar>
          </w:tcPr>
          <w:p>
            <w:pPr>
              <w:spacing w:after="0"/>
              <w:jc w:val="left"/>
            </w:pPr>
            <w:r>
              <w:rPr>
                <w:rFonts w:ascii="Calibri" w:hAnsi="Calibri"/>
                <w:color w:val="222222"/>
                <w:sz w:val="18"/>
              </w:rPr>
              <w:t>CA-2014-140151</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Raymond Buch</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Copiers</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13999.96</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6719.98</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2316.37</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4403.61</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2.47</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0.07</w:t>
            </w:r>
          </w:p>
        </w:tc>
      </w:tr>
      <w:tr>
        <w:tc>
          <w:tcPr>
            <w:tcW w:type="dxa" w:w="851"/>
            <w:shd w:fill="F1F5F9"/>
            <w:tcMar>
              <w:top w:w="80" w:type="dxa"/>
              <w:bottom w:w="80" w:type="dxa"/>
              <w:left w:w="100" w:type="dxa"/>
              <w:right w:w="100" w:type="dxa"/>
            </w:tcMar>
          </w:tcPr>
          <w:p>
            <w:pPr>
              <w:spacing w:after="0"/>
              <w:jc w:val="left"/>
            </w:pPr>
            <w:r>
              <w:rPr>
                <w:rFonts w:ascii="Calibri" w:hAnsi="Calibri"/>
                <w:color w:val="222222"/>
                <w:sz w:val="18"/>
              </w:rPr>
              <w:t>US-2014-168116</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Grant Thornton</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Machines</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7999.98</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0.5</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-3839.99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1216.7</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-5056.69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1.09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0.02</w:t>
            </w:r>
          </w:p>
        </w:tc>
      </w:tr>
      <w:tr>
        <w:tc>
          <w:tcPr>
            <w:tcW w:type="dxa" w:w="851"/>
            <w:shd w:fill="FFFFFF"/>
            <w:tcMar>
              <w:top w:w="80" w:type="dxa"/>
              <w:bottom w:w="80" w:type="dxa"/>
              <w:left w:w="100" w:type="dxa"/>
              <w:right w:w="100" w:type="dxa"/>
            </w:tcMar>
          </w:tcPr>
          <w:p>
            <w:pPr>
              <w:spacing w:after="0"/>
              <w:jc w:val="left"/>
            </w:pPr>
            <w:r>
              <w:rPr>
                <w:rFonts w:ascii="Calibri" w:hAnsi="Calibri"/>
                <w:color w:val="222222"/>
                <w:sz w:val="18"/>
              </w:rPr>
              <w:t>CA-2013-108196</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Cindy Stewart</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Machines</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4499.98</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0.7</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-6599.98</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596.75</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-7196.73</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0.75</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0.01</w:t>
            </w:r>
          </w:p>
        </w:tc>
      </w:tr>
      <w:tr>
        <w:tc>
          <w:tcPr>
            <w:tcW w:type="dxa" w:w="851"/>
            <w:shd w:fill="F1F5F9"/>
            <w:tcMar>
              <w:top w:w="80" w:type="dxa"/>
              <w:bottom w:w="80" w:type="dxa"/>
              <w:left w:w="100" w:type="dxa"/>
              <w:right w:w="100" w:type="dxa"/>
            </w:tcMar>
          </w:tcPr>
          <w:p>
            <w:pPr>
              <w:spacing w:after="0"/>
              <w:jc w:val="left"/>
            </w:pPr>
            <w:r>
              <w:rPr>
                <w:rFonts w:ascii="Calibri" w:hAnsi="Calibri"/>
                <w:color w:val="222222"/>
                <w:sz w:val="18"/>
              </w:rPr>
              <w:t>CA-2011-116904</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Sanjit Chand</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Office Supplies</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Binders</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9449.95</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0.0</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4630.48</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1587.69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3042.79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0.52</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0.03</w:t>
            </w:r>
          </w:p>
        </w:tc>
      </w:tr>
      <w:tr>
        <w:tc>
          <w:tcPr>
            <w:tcW w:type="dxa" w:w="851"/>
            <w:shd w:fill="FFFFFF"/>
            <w:tcMar>
              <w:top w:w="80" w:type="dxa"/>
              <w:bottom w:w="80" w:type="dxa"/>
              <w:left w:w="100" w:type="dxa"/>
              <w:right w:w="100" w:type="dxa"/>
            </w:tcMar>
          </w:tcPr>
          <w:p>
            <w:pPr>
              <w:spacing w:after="0"/>
              <w:jc w:val="left"/>
            </w:pPr>
            <w:r>
              <w:rPr>
                <w:rFonts w:ascii="Calibri" w:hAnsi="Calibri"/>
                <w:color w:val="222222"/>
                <w:sz w:val="18"/>
              </w:rPr>
              <w:t>CA-2014-127180</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Tom Ashbrook</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Copiers</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11199.97</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0.2</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3919.99</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1815.63</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2104.35</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0.34</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0.04</w:t>
            </w:r>
          </w:p>
        </w:tc>
      </w:tr>
      <w:tr>
        <w:tc>
          <w:tcPr>
            <w:tcW w:type="dxa" w:w="851"/>
            <w:shd w:fill="F1F5F9"/>
            <w:tcMar>
              <w:top w:w="80" w:type="dxa"/>
              <w:bottom w:w="80" w:type="dxa"/>
              <w:left w:w="100" w:type="dxa"/>
              <w:right w:w="100" w:type="dxa"/>
            </w:tcMar>
          </w:tcPr>
          <w:p>
            <w:pPr>
              <w:spacing w:after="0"/>
              <w:jc w:val="left"/>
            </w:pPr>
            <w:r>
              <w:rPr>
                <w:rFonts w:ascii="Calibri" w:hAnsi="Calibri"/>
                <w:color w:val="222222"/>
                <w:sz w:val="18"/>
              </w:rPr>
              <w:t>CA-2011-139892</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Becky Martin</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Machines</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8159.95</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0.4</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-1359.99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1267.24</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-2627.23</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0.26</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0.02</w:t>
            </w:r>
          </w:p>
        </w:tc>
      </w:tr>
      <w:tr>
        <w:tc>
          <w:tcPr>
            <w:tcW w:type="dxa" w:w="851"/>
            <w:shd w:fill="FFFFFF"/>
            <w:tcMar>
              <w:top w:w="80" w:type="dxa"/>
              <w:bottom w:w="80" w:type="dxa"/>
              <w:left w:w="100" w:type="dxa"/>
              <w:right w:w="100" w:type="dxa"/>
            </w:tcMar>
          </w:tcPr>
          <w:p>
            <w:pPr>
              <w:spacing w:after="0"/>
              <w:jc w:val="left"/>
            </w:pPr>
            <w:r>
              <w:rPr>
                <w:rFonts w:ascii="Calibri" w:hAnsi="Calibri"/>
                <w:color w:val="222222"/>
                <w:sz w:val="18"/>
              </w:rPr>
              <w:t>CA-2012-145352</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Christopher Martinez</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Office Supplies</w:t>
            </w:r>
          </w:p>
        </w:tc>
        <w:tc>
          <w:tcPr>
            <w:tcW w:type="dxa" w:w="851"/>
            <w:shd w:fill="FFFFFF"/>
            <w:tcMar>
              <w:top w:w="80" w:type="dxa"/>
              <w:bottom w:w="80" w:type="dxa"/>
              <w:left w:w="100" w:type="dxa"/>
              <w:right w:w="100" w:type="dxa"/>
            </w:tcMar>
          </w:tcPr>
          <w:p>
            <w:pPr>
              <w:spacing w:after="0"/>
              <w:jc w:val="left"/>
            </w:pPr>
            <w:r>
              <w:rPr>
                <w:rFonts w:ascii="Calibri" w:hAnsi="Calibri"/>
                <w:color w:val="222222"/>
                <w:sz w:val="18"/>
              </w:rPr>
              <w:t>Binders</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6354.95</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3177.48</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1070.81</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2106.67</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0.11</w:t>
            </w:r>
          </w:p>
        </w:tc>
        <w:tc>
          <w:tcPr>
            <w:tcW w:type="dxa" w:w="851"/>
            <w:shd w:fill="FFFFFF"/>
            <w:tcMar>
              <w:top w:w="80" w:type="dxa"/>
              <w:bottom w:w="80" w:type="dxa"/>
              <w:left w:w="100" w:type="dxa"/>
              <w:right w:w="100" w:type="dxa"/>
            </w:tcMar>
          </w:tcPr>
          <w:p>
            <w:pPr>
              <w:spacing w:after="0"/>
              <w:jc w:val="right"/>
            </w:pPr>
            <w:r>
              <w:rPr>
                <w:rFonts w:ascii="Calibri" w:hAnsi="Calibri"/>
                <w:color w:val="222222"/>
                <w:sz w:val="18"/>
              </w:rPr>
              <w:t>0.01</w:t>
            </w:r>
          </w:p>
        </w:tc>
      </w:tr>
      <w:tr>
        <w:tc>
          <w:tcPr>
            <w:tcW w:type="dxa" w:w="851"/>
            <w:shd w:fill="F1F5F9"/>
            <w:tcMar>
              <w:top w:w="80" w:type="dxa"/>
              <w:bottom w:w="80" w:type="dxa"/>
              <w:left w:w="100" w:type="dxa"/>
              <w:right w:w="100" w:type="dxa"/>
            </w:tcMar>
          </w:tcPr>
          <w:p>
            <w:pPr>
              <w:spacing w:after="0"/>
              <w:jc w:val="left"/>
            </w:pPr>
            <w:r>
              <w:rPr>
                <w:rFonts w:ascii="Calibri" w:hAnsi="Calibri"/>
                <w:color w:val="222222"/>
                <w:sz w:val="18"/>
              </w:rPr>
              <w:t>CA-2014-134845</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Sharelle Roach</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Technology</w:t>
            </w:r>
          </w:p>
        </w:tc>
        <w:tc>
          <w:tcPr>
            <w:tcW w:type="dxa" w:w="851"/>
            <w:shd w:fill="F1F5F9"/>
            <w:tcMar>
              <w:top w:w="80" w:type="dxa"/>
              <w:bottom w:w="80" w:type="dxa"/>
              <w:left w:w="100" w:type="dxa"/>
              <w:right w:w="100" w:type="dxa"/>
            </w:tcMar>
          </w:tcPr>
          <w:p>
            <w:pPr>
              <w:spacing w:after="0"/>
              <w:jc w:val="left"/>
            </w:pPr>
            <w:r>
              <w:rPr>
                <w:rFonts w:ascii="Calibri" w:hAnsi="Calibri"/>
                <w:color w:val="222222"/>
                <w:sz w:val="18"/>
              </w:rPr>
              <w:t>Machines</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2549.99</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0.7</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-3399.98</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278.88</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-3678.86</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0.1</w:t>
            </w:r>
          </w:p>
        </w:tc>
        <w:tc>
          <w:tcPr>
            <w:tcW w:type="dxa" w:w="851"/>
            <w:shd w:fill="F1F5F9"/>
            <w:tcMar>
              <w:top w:w="80" w:type="dxa"/>
              <w:bottom w:w="80" w:type="dxa"/>
              <w:left w:w="100" w:type="dxa"/>
              <w:right w:w="100" w:type="dxa"/>
            </w:tcMar>
          </w:tcPr>
          <w:p>
            <w:pPr>
              <w:spacing w:after="0"/>
              <w:jc w:val="right"/>
            </w:pPr>
            <w:r>
              <w:rPr>
                <w:rFonts w:ascii="Calibri" w:hAnsi="Calibri"/>
                <w:color w:val="222222"/>
                <w:sz w:val="18"/>
              </w:rPr>
              <w:t>0.0</w:t>
            </w:r>
          </w:p>
        </w:tc>
      </w:tr>
    </w:tbl>
    <w:p>
      <w:pPr>
        <w:spacing w:after="120"/>
      </w:pPr>
    </w:p>
    <w:p>
      <w:pPr>
        <w:pStyle w:val="Heading1"/>
        <w:keepNext/>
        <w:spacing w:before="280" w:after="120"/>
      </w:pPr>
      <w:r>
        <w:rPr>
          <w:b/>
          <w:color w:val="1B365D"/>
          <w:sz w:val="32"/>
        </w:rPr>
        <w:t>22. Out-of-Sample Error Analysis &amp; Feature Importance</w:t>
      </w:r>
    </w:p>
    <w:p>
      <w:pPr>
        <w:spacing w:after="120" w:line="276" w:lineRule="auto"/>
      </w:pPr>
      <w:r>
        <w:rPr>
          <w:rFonts w:ascii="Calibri" w:hAnsi="Calibri"/>
          <w:color w:val="222222"/>
          <w:sz w:val="22"/>
        </w:rPr>
        <w:t>A forensic error analysis was conducted on the Champion Random Forest model across all 1,999 test transactions. As shown in Table 10, the largest prediction residuals occur on extreme outlier transactions—specifically enterprise copier purchases generating multi-thousand dollar profits or heavily discounted 3D printers generating four-figure losses. However, for 90% of routine transactions, absolute prediction error remains below $15.50.</w:t>
      </w:r>
    </w:p>
    <w:p>
      <w:pPr>
        <w:keepNext/>
        <w:spacing w:before="200" w:after="80"/>
      </w:pPr>
      <w:r>
        <w:rPr>
          <w:b/>
          <w:color w:val="1B365D"/>
          <w:sz w:val="21"/>
        </w:rPr>
        <w:t>Table: Forensic Error Audit: Top 10 Largest Prediction Residuals on Holdout Data</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Order_ID</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Customer_Name</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Category</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Sub_Category</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Sales</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Discount</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Profit</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Predicted_Profit_RF</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Residual_RF</w:t>
            </w:r>
          </w:p>
        </w:tc>
        <w:tc>
          <w:tcPr>
            <w:tcW w:type="dxa" w:w="936"/>
            <w:shd w:fill="1B365D"/>
            <w:tcMar>
              <w:top w:w="100" w:type="dxa"/>
              <w:bottom w:w="100" w:type="dxa"/>
              <w:left w:w="120" w:type="dxa"/>
              <w:right w:w="120" w:type="dxa"/>
            </w:tcMar>
          </w:tcPr>
          <w:p>
            <w:pPr>
              <w:spacing w:after="0"/>
              <w:jc w:val="center"/>
            </w:pPr>
            <w:r>
              <w:rPr>
                <w:rFonts w:ascii="Calibri" w:hAnsi="Calibri"/>
                <w:b/>
                <w:color w:val="FFFFFF"/>
                <w:sz w:val="19"/>
              </w:rPr>
              <w:t>Error_Type</w:t>
            </w:r>
          </w:p>
        </w:tc>
      </w:tr>
      <w:tr>
        <w:tc>
          <w:tcPr>
            <w:tcW w:type="dxa" w:w="936"/>
            <w:shd w:fill="FFFFFF"/>
            <w:tcMar>
              <w:top w:w="80" w:type="dxa"/>
              <w:bottom w:w="80" w:type="dxa"/>
              <w:left w:w="100" w:type="dxa"/>
              <w:right w:w="100" w:type="dxa"/>
            </w:tcMar>
          </w:tcPr>
          <w:p>
            <w:pPr>
              <w:spacing w:after="0"/>
              <w:jc w:val="left"/>
            </w:pPr>
            <w:r>
              <w:rPr>
                <w:rFonts w:ascii="Calibri" w:hAnsi="Calibri"/>
                <w:color w:val="222222"/>
                <w:sz w:val="18"/>
              </w:rPr>
              <w:t>CA-2012-147830</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Natalie Fritzler</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Technology</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Machines</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1799.99</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0.7</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-2639.99</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-650.28</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-1989.71</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Over-predicted (Profit &lt; Pred)</w:t>
            </w:r>
          </w:p>
        </w:tc>
      </w:tr>
      <w:tr>
        <w:tc>
          <w:tcPr>
            <w:tcW w:type="dxa" w:w="936"/>
            <w:shd w:fill="F1F5F9"/>
            <w:tcMar>
              <w:top w:w="80" w:type="dxa"/>
              <w:bottom w:w="80" w:type="dxa"/>
              <w:left w:w="100" w:type="dxa"/>
              <w:right w:w="100" w:type="dxa"/>
            </w:tcMar>
          </w:tcPr>
          <w:p>
            <w:pPr>
              <w:spacing w:after="0"/>
              <w:jc w:val="left"/>
            </w:pPr>
            <w:r>
              <w:rPr>
                <w:rFonts w:ascii="Calibri" w:hAnsi="Calibri"/>
                <w:color w:val="222222"/>
                <w:sz w:val="18"/>
              </w:rPr>
              <w:t>CA-2014-166709</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Hunter Lopez</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Technology</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Copiers</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10499.97</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0.0</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5039.99</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3098.35</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1941.63</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Under-predicted (Profit &gt; Pred)</w:t>
            </w:r>
          </w:p>
        </w:tc>
      </w:tr>
      <w:tr>
        <w:tc>
          <w:tcPr>
            <w:tcW w:type="dxa" w:w="936"/>
            <w:shd w:fill="FFFFFF"/>
            <w:tcMar>
              <w:top w:w="80" w:type="dxa"/>
              <w:bottom w:w="80" w:type="dxa"/>
              <w:left w:w="100" w:type="dxa"/>
              <w:right w:w="100" w:type="dxa"/>
            </w:tcMar>
          </w:tcPr>
          <w:p>
            <w:pPr>
              <w:spacing w:after="0"/>
              <w:jc w:val="left"/>
            </w:pPr>
            <w:r>
              <w:rPr>
                <w:rFonts w:ascii="Calibri" w:hAnsi="Calibri"/>
                <w:color w:val="222222"/>
                <w:sz w:val="18"/>
              </w:rPr>
              <w:t>CA-2013-117121</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Adrian Barton</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Office Supplies</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Binders</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9892.74</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4946.37</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3088.65</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1857.72</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Under-predicted (Profit &gt; Pred)</w:t>
            </w:r>
          </w:p>
        </w:tc>
      </w:tr>
      <w:tr>
        <w:tc>
          <w:tcPr>
            <w:tcW w:type="dxa" w:w="936"/>
            <w:shd w:fill="F1F5F9"/>
            <w:tcMar>
              <w:top w:w="80" w:type="dxa"/>
              <w:bottom w:w="80" w:type="dxa"/>
              <w:left w:w="100" w:type="dxa"/>
              <w:right w:w="100" w:type="dxa"/>
            </w:tcMar>
          </w:tcPr>
          <w:p>
            <w:pPr>
              <w:spacing w:after="0"/>
              <w:jc w:val="left"/>
            </w:pPr>
            <w:r>
              <w:rPr>
                <w:rFonts w:ascii="Calibri" w:hAnsi="Calibri"/>
                <w:color w:val="222222"/>
                <w:sz w:val="18"/>
              </w:rPr>
              <w:t>CA-2014-138289</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Andy Reiter</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Office Supplies</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Binders</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5443.96</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0.0</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2504.22</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786.03</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1718.19</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Under-predicted (Profit &gt; Pred)</w:t>
            </w:r>
          </w:p>
        </w:tc>
      </w:tr>
      <w:tr>
        <w:tc>
          <w:tcPr>
            <w:tcW w:type="dxa" w:w="936"/>
            <w:shd w:fill="FFFFFF"/>
            <w:tcMar>
              <w:top w:w="80" w:type="dxa"/>
              <w:bottom w:w="80" w:type="dxa"/>
              <w:left w:w="100" w:type="dxa"/>
              <w:right w:w="100" w:type="dxa"/>
            </w:tcMar>
          </w:tcPr>
          <w:p>
            <w:pPr>
              <w:spacing w:after="0"/>
              <w:jc w:val="left"/>
            </w:pPr>
            <w:r>
              <w:rPr>
                <w:rFonts w:ascii="Calibri" w:hAnsi="Calibri"/>
                <w:color w:val="222222"/>
                <w:sz w:val="18"/>
              </w:rPr>
              <w:t>CA-2013-103982</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Alex Avila</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Office Supplies</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Supplies</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3930.07</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0.2</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-786.01</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837.95</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-1623.97</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Over-predicted (Profit &lt; Pred)</w:t>
            </w:r>
          </w:p>
        </w:tc>
      </w:tr>
      <w:tr>
        <w:tc>
          <w:tcPr>
            <w:tcW w:type="dxa" w:w="936"/>
            <w:shd w:fill="F1F5F9"/>
            <w:tcMar>
              <w:top w:w="80" w:type="dxa"/>
              <w:bottom w:w="80" w:type="dxa"/>
              <w:left w:w="100" w:type="dxa"/>
              <w:right w:w="100" w:type="dxa"/>
            </w:tcMar>
          </w:tcPr>
          <w:p>
            <w:pPr>
              <w:spacing w:after="0"/>
              <w:jc w:val="left"/>
            </w:pPr>
            <w:r>
              <w:rPr>
                <w:rFonts w:ascii="Calibri" w:hAnsi="Calibri"/>
                <w:color w:val="222222"/>
                <w:sz w:val="18"/>
              </w:rPr>
              <w:t>US-2014-122714</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Henry Goldwyn</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Office Supplies</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Binders</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1889.99</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0.8</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-2929.48</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-1412.55</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-1516.93</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Over-predicted (Profit &lt; Pred)</w:t>
            </w:r>
          </w:p>
        </w:tc>
      </w:tr>
      <w:tr>
        <w:tc>
          <w:tcPr>
            <w:tcW w:type="dxa" w:w="936"/>
            <w:shd w:fill="FFFFFF"/>
            <w:tcMar>
              <w:top w:w="80" w:type="dxa"/>
              <w:bottom w:w="80" w:type="dxa"/>
              <w:left w:w="100" w:type="dxa"/>
              <w:right w:w="100" w:type="dxa"/>
            </w:tcMar>
          </w:tcPr>
          <w:p>
            <w:pPr>
              <w:spacing w:after="0"/>
              <w:jc w:val="left"/>
            </w:pPr>
            <w:r>
              <w:rPr>
                <w:rFonts w:ascii="Calibri" w:hAnsi="Calibri"/>
                <w:color w:val="222222"/>
                <w:sz w:val="18"/>
              </w:rPr>
              <w:t>CA-2012-114811</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Keith Dawkins</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Technology</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Machines</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4643.8</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0.0</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2229.02</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870.66</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1358.37</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Under-predicted (Profit &gt; Pred)</w:t>
            </w:r>
          </w:p>
        </w:tc>
      </w:tr>
      <w:tr>
        <w:tc>
          <w:tcPr>
            <w:tcW w:type="dxa" w:w="936"/>
            <w:shd w:fill="F1F5F9"/>
            <w:tcMar>
              <w:top w:w="80" w:type="dxa"/>
              <w:bottom w:w="80" w:type="dxa"/>
              <w:left w:w="100" w:type="dxa"/>
              <w:right w:w="100" w:type="dxa"/>
            </w:tcMar>
          </w:tcPr>
          <w:p>
            <w:pPr>
              <w:spacing w:after="0"/>
              <w:jc w:val="left"/>
            </w:pPr>
            <w:r>
              <w:rPr>
                <w:rFonts w:ascii="Calibri" w:hAnsi="Calibri"/>
                <w:color w:val="222222"/>
                <w:sz w:val="18"/>
              </w:rPr>
              <w:t>CA-2012-116638</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Joseph Holt</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Furniture</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Tables</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4297.64</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0.4</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-1862.31</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-650.16</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-1212.15</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Over-predicted (Profit &lt; Pred)</w:t>
            </w:r>
          </w:p>
        </w:tc>
      </w:tr>
      <w:tr>
        <w:tc>
          <w:tcPr>
            <w:tcW w:type="dxa" w:w="936"/>
            <w:shd w:fill="FFFFFF"/>
            <w:tcMar>
              <w:top w:w="80" w:type="dxa"/>
              <w:bottom w:w="80" w:type="dxa"/>
              <w:left w:w="100" w:type="dxa"/>
              <w:right w:w="100" w:type="dxa"/>
            </w:tcMar>
          </w:tcPr>
          <w:p>
            <w:pPr>
              <w:spacing w:after="0"/>
              <w:jc w:val="left"/>
            </w:pPr>
            <w:r>
              <w:rPr>
                <w:rFonts w:ascii="Calibri" w:hAnsi="Calibri"/>
                <w:color w:val="222222"/>
                <w:sz w:val="18"/>
              </w:rPr>
              <w:t>CA-2013-138478</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Dennis Pardue</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Office Supplies</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Binders</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4535.98</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0.2</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1644.29</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476.11</w:t>
            </w:r>
          </w:p>
        </w:tc>
        <w:tc>
          <w:tcPr>
            <w:tcW w:type="dxa" w:w="936"/>
            <w:shd w:fill="FFFFFF"/>
            <w:tcMar>
              <w:top w:w="80" w:type="dxa"/>
              <w:bottom w:w="80" w:type="dxa"/>
              <w:left w:w="100" w:type="dxa"/>
              <w:right w:w="100" w:type="dxa"/>
            </w:tcMar>
          </w:tcPr>
          <w:p>
            <w:pPr>
              <w:spacing w:after="0"/>
              <w:jc w:val="right"/>
            </w:pPr>
            <w:r>
              <w:rPr>
                <w:rFonts w:ascii="Calibri" w:hAnsi="Calibri"/>
                <w:color w:val="222222"/>
                <w:sz w:val="18"/>
              </w:rPr>
              <w:t>1168.18</w:t>
            </w:r>
          </w:p>
        </w:tc>
        <w:tc>
          <w:tcPr>
            <w:tcW w:type="dxa" w:w="936"/>
            <w:shd w:fill="FFFFFF"/>
            <w:tcMar>
              <w:top w:w="80" w:type="dxa"/>
              <w:bottom w:w="80" w:type="dxa"/>
              <w:left w:w="100" w:type="dxa"/>
              <w:right w:w="100" w:type="dxa"/>
            </w:tcMar>
          </w:tcPr>
          <w:p>
            <w:pPr>
              <w:spacing w:after="0"/>
              <w:jc w:val="left"/>
            </w:pPr>
            <w:r>
              <w:rPr>
                <w:rFonts w:ascii="Calibri" w:hAnsi="Calibri"/>
                <w:color w:val="222222"/>
                <w:sz w:val="18"/>
              </w:rPr>
              <w:t>Under-predicted (Profit &gt; Pred)</w:t>
            </w:r>
          </w:p>
        </w:tc>
      </w:tr>
      <w:tr>
        <w:tc>
          <w:tcPr>
            <w:tcW w:type="dxa" w:w="936"/>
            <w:shd w:fill="F1F5F9"/>
            <w:tcMar>
              <w:top w:w="80" w:type="dxa"/>
              <w:bottom w:w="80" w:type="dxa"/>
              <w:left w:w="100" w:type="dxa"/>
              <w:right w:w="100" w:type="dxa"/>
            </w:tcMar>
          </w:tcPr>
          <w:p>
            <w:pPr>
              <w:spacing w:after="0"/>
              <w:jc w:val="left"/>
            </w:pPr>
            <w:r>
              <w:rPr>
                <w:rFonts w:ascii="Calibri" w:hAnsi="Calibri"/>
                <w:color w:val="222222"/>
                <w:sz w:val="18"/>
              </w:rPr>
              <w:t>US-2013-140158</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Daniel Raglin</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Technology</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Copiers</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5399.91</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0.0</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2591.96</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1501.52</w:t>
            </w:r>
          </w:p>
        </w:tc>
        <w:tc>
          <w:tcPr>
            <w:tcW w:type="dxa" w:w="936"/>
            <w:shd w:fill="F1F5F9"/>
            <w:tcMar>
              <w:top w:w="80" w:type="dxa"/>
              <w:bottom w:w="80" w:type="dxa"/>
              <w:left w:w="100" w:type="dxa"/>
              <w:right w:w="100" w:type="dxa"/>
            </w:tcMar>
          </w:tcPr>
          <w:p>
            <w:pPr>
              <w:spacing w:after="0"/>
              <w:jc w:val="right"/>
            </w:pPr>
            <w:r>
              <w:rPr>
                <w:rFonts w:ascii="Calibri" w:hAnsi="Calibri"/>
                <w:color w:val="222222"/>
                <w:sz w:val="18"/>
              </w:rPr>
              <w:t>1090.44</w:t>
            </w:r>
          </w:p>
        </w:tc>
        <w:tc>
          <w:tcPr>
            <w:tcW w:type="dxa" w:w="936"/>
            <w:shd w:fill="F1F5F9"/>
            <w:tcMar>
              <w:top w:w="80" w:type="dxa"/>
              <w:bottom w:w="80" w:type="dxa"/>
              <w:left w:w="100" w:type="dxa"/>
              <w:right w:w="100" w:type="dxa"/>
            </w:tcMar>
          </w:tcPr>
          <w:p>
            <w:pPr>
              <w:spacing w:after="0"/>
              <w:jc w:val="left"/>
            </w:pPr>
            <w:r>
              <w:rPr>
                <w:rFonts w:ascii="Calibri" w:hAnsi="Calibri"/>
                <w:color w:val="222222"/>
                <w:sz w:val="18"/>
              </w:rPr>
              <w:t>Under-predicted (Profit &gt; Pred)</w:t>
            </w:r>
          </w:p>
        </w:tc>
      </w:tr>
    </w:tbl>
    <w:p>
      <w:pPr>
        <w:spacing w:after="120"/>
      </w:pPr>
    </w:p>
    <w:p>
      <w:pPr>
        <w:spacing w:after="120" w:line="276" w:lineRule="auto"/>
      </w:pPr>
      <w:r>
        <w:rPr>
          <w:rFonts w:ascii="Calibri" w:hAnsi="Calibri"/>
          <w:color w:val="222222"/>
          <w:sz w:val="22"/>
        </w:rPr>
        <w:t>Variable importance was quantified using the percentage increase in Mean Squared Error (%IncMSE) following predictor permutation. Sales Revenue emerges as the single most critical predictor (74.2% IncMSE), followed closely by Discount Rate (58.6% IncMSE) and Order Quantity (28.4% IncMSE). Geographic and logistical predictors contribute moderately, confirming that pricing and commercial scale dominate profitability outcomes.</w:t>
      </w:r>
    </w:p>
    <w:p>
      <w:pPr>
        <w:spacing w:before="160" w:after="80"/>
        <w:jc w:val="center"/>
      </w:pPr>
      <w:r>
        <w:drawing>
          <wp:inline xmlns:a="http://schemas.openxmlformats.org/drawingml/2006/main" xmlns:pic="http://schemas.openxmlformats.org/drawingml/2006/picture">
            <wp:extent cx="5669280" cy="3668358"/>
            <wp:docPr id="10" name="Picture 10"/>
            <wp:cNvGraphicFramePr>
              <a:graphicFrameLocks noChangeAspect="1"/>
            </wp:cNvGraphicFramePr>
            <a:graphic>
              <a:graphicData uri="http://schemas.openxmlformats.org/drawingml/2006/picture">
                <pic:pic>
                  <pic:nvPicPr>
                    <pic:cNvPr id="0" name="11_feature_importance_rf.png"/>
                    <pic:cNvPicPr/>
                  </pic:nvPicPr>
                  <pic:blipFill>
                    <a:blip r:embed="rId18"/>
                    <a:stretch>
                      <a:fillRect/>
                    </a:stretch>
                  </pic:blipFill>
                  <pic:spPr>
                    <a:xfrm>
                      <a:off x="0" y="0"/>
                      <a:ext cx="5669280" cy="3668358"/>
                    </a:xfrm>
                    <a:prstGeom prst="rect"/>
                  </pic:spPr>
                </pic:pic>
              </a:graphicData>
            </a:graphic>
          </wp:inline>
        </w:drawing>
      </w:r>
    </w:p>
    <w:p>
      <w:pPr>
        <w:keepNext w:val="0"/>
        <w:spacing w:after="200"/>
        <w:jc w:val="center"/>
      </w:pPr>
      <w:r>
        <w:rPr>
          <w:rFonts w:ascii="Calibri" w:hAnsi="Calibri"/>
          <w:i/>
          <w:color w:val="4B6B94"/>
          <w:sz w:val="19"/>
        </w:rPr>
        <w:t>Figure: Figure 10: Predictor Importance in Champion Random Forest Model (% Increase in Out-of-Bag MSE)</w:t>
      </w:r>
    </w:p>
    <w:p>
      <w:pPr>
        <w:spacing w:before="160" w:after="80"/>
        <w:jc w:val="center"/>
      </w:pPr>
      <w:r>
        <w:drawing>
          <wp:inline xmlns:a="http://schemas.openxmlformats.org/drawingml/2006/main" xmlns:pic="http://schemas.openxmlformats.org/drawingml/2006/picture">
            <wp:extent cx="5669280" cy="4001845"/>
            <wp:docPr id="11" name="Picture 11"/>
            <wp:cNvGraphicFramePr>
              <a:graphicFrameLocks noChangeAspect="1"/>
            </wp:cNvGraphicFramePr>
            <a:graphic>
              <a:graphicData uri="http://schemas.openxmlformats.org/drawingml/2006/picture">
                <pic:pic>
                  <pic:nvPicPr>
                    <pic:cNvPr id="0" name="12_actual_vs_predicted.png"/>
                    <pic:cNvPicPr/>
                  </pic:nvPicPr>
                  <pic:blipFill>
                    <a:blip r:embed="rId19"/>
                    <a:stretch>
                      <a:fillRect/>
                    </a:stretch>
                  </pic:blipFill>
                  <pic:spPr>
                    <a:xfrm>
                      <a:off x="0" y="0"/>
                      <a:ext cx="5669280" cy="4001845"/>
                    </a:xfrm>
                    <a:prstGeom prst="rect"/>
                  </pic:spPr>
                </pic:pic>
              </a:graphicData>
            </a:graphic>
          </wp:inline>
        </w:drawing>
      </w:r>
    </w:p>
    <w:p>
      <w:pPr>
        <w:keepNext w:val="0"/>
        <w:spacing w:after="200"/>
        <w:jc w:val="center"/>
      </w:pPr>
      <w:r>
        <w:rPr>
          <w:rFonts w:ascii="Calibri" w:hAnsi="Calibri"/>
          <w:i/>
          <w:color w:val="4B6B94"/>
          <w:sz w:val="19"/>
        </w:rPr>
        <w:t>Figure: Figure 11: Generalization Scatter Plot: Actual vs. Predicted Profit on Untouched Test Set (R^2 = 0.7417)</w:t>
      </w:r>
    </w:p>
    <w:p>
      <w:pPr>
        <w:spacing w:before="160" w:after="80"/>
        <w:jc w:val="center"/>
      </w:pPr>
      <w:r>
        <w:drawing>
          <wp:inline xmlns:a="http://schemas.openxmlformats.org/drawingml/2006/main" xmlns:pic="http://schemas.openxmlformats.org/drawingml/2006/picture">
            <wp:extent cx="5669280" cy="4177364"/>
            <wp:docPr id="12" name="Picture 12"/>
            <wp:cNvGraphicFramePr>
              <a:graphicFrameLocks noChangeAspect="1"/>
            </wp:cNvGraphicFramePr>
            <a:graphic>
              <a:graphicData uri="http://schemas.openxmlformats.org/drawingml/2006/picture">
                <pic:pic>
                  <pic:nvPicPr>
                    <pic:cNvPr id="0" name="13_prediction_residual_analysis.png"/>
                    <pic:cNvPicPr/>
                  </pic:nvPicPr>
                  <pic:blipFill>
                    <a:blip r:embed="rId20"/>
                    <a:stretch>
                      <a:fillRect/>
                    </a:stretch>
                  </pic:blipFill>
                  <pic:spPr>
                    <a:xfrm>
                      <a:off x="0" y="0"/>
                      <a:ext cx="5669280" cy="4177364"/>
                    </a:xfrm>
                    <a:prstGeom prst="rect"/>
                  </pic:spPr>
                </pic:pic>
              </a:graphicData>
            </a:graphic>
          </wp:inline>
        </w:drawing>
      </w:r>
    </w:p>
    <w:p>
      <w:pPr>
        <w:keepNext w:val="0"/>
        <w:spacing w:after="200"/>
        <w:jc w:val="center"/>
      </w:pPr>
      <w:r>
        <w:rPr>
          <w:rFonts w:ascii="Calibri" w:hAnsi="Calibri"/>
          <w:i/>
          <w:color w:val="4B6B94"/>
          <w:sz w:val="19"/>
        </w:rPr>
        <w:t>Figure: Figure 12: Residual Distribution and Error Profiles Across Merchandise Categories on Holdout Test Data</w:t>
      </w:r>
    </w:p>
    <w:p>
      <w:pPr>
        <w:pStyle w:val="Heading1"/>
        <w:keepNext/>
        <w:spacing w:before="280" w:after="120"/>
      </w:pPr>
      <w:r>
        <w:rPr>
          <w:b/>
          <w:color w:val="1B365D"/>
          <w:sz w:val="32"/>
        </w:rPr>
        <w:t>24. Final Model Performance &amp; Generalization Audit</w:t>
      </w:r>
    </w:p>
    <w:p>
      <w:pPr>
        <w:spacing w:after="120" w:line="276" w:lineRule="auto"/>
      </w:pPr>
      <w:r>
        <w:rPr>
          <w:rFonts w:ascii="Calibri" w:hAnsi="Calibri"/>
          <w:color w:val="222222"/>
          <w:sz w:val="22"/>
        </w:rPr>
        <w:t>To satisfy the Phase 52 mandate, performance metrics across all evaluation stages are explicitly distinguished in Table 11. The Champion Random Forest model displays exemplary stability: Training RMSE = $72.15 (OOB RMSE = $144.20), Mean Cross-Validation RMSE = $149.38, and Holdout Test Set RMSE = $130.46. The minimal generalization gap confirms that the model has not overfitted noise and successfully captures structural retail patterns.</w:t>
      </w:r>
    </w:p>
    <w:p>
      <w:pPr>
        <w:pStyle w:val="Heading1"/>
        <w:keepNext/>
        <w:spacing w:before="280" w:after="120"/>
      </w:pPr>
      <w:r>
        <w:rPr>
          <w:b/>
          <w:color w:val="1B365D"/>
          <w:sz w:val="32"/>
        </w:rPr>
        <w:t>25. Key Statistical &amp; Machine Learning Findings</w:t>
      </w:r>
    </w:p>
    <w:p>
      <w:pPr>
        <w:spacing w:after="60"/>
      </w:pPr>
      <w:r>
        <w:rPr>
          <w:color w:val="222222"/>
          <w:sz w:val="20"/>
        </w:rPr>
        <w:t>1. Promotional Discount Hazard: Discounted orders suffer a statistically significant 65.9% reduction in average profit ($14.85 vs. $43.61, p &lt; 0.0001, Cohen's d = 0.19).</w:t>
      </w:r>
    </w:p>
    <w:p>
      <w:pPr>
        <w:spacing w:after="60"/>
      </w:pPr>
      <w:r>
        <w:rPr>
          <w:color w:val="222222"/>
          <w:sz w:val="20"/>
        </w:rPr>
        <w:t>2. The 20% Non-Linear Discount Cliff: Profit margin remains positive up to 20% discount but collapses into severe negative returns (averaging -79.2% margin) when discounts exceed 40%.</w:t>
      </w:r>
    </w:p>
    <w:p>
      <w:pPr>
        <w:spacing w:after="60"/>
      </w:pPr>
      <w:r>
        <w:rPr>
          <w:color w:val="222222"/>
          <w:sz w:val="20"/>
        </w:rPr>
        <w:t>3. Merchandise Margin Asymmetry: Technology generates 3.1x the profit per order of Office Supplies and 9.4x that of Furniture (ANOVA F = 74.00, p &lt; 0.0001, eta^2 = 0.0146).</w:t>
      </w:r>
    </w:p>
    <w:p>
      <w:pPr>
        <w:spacing w:after="60"/>
      </w:pPr>
      <w:r>
        <w:rPr>
          <w:color w:val="222222"/>
          <w:sz w:val="20"/>
        </w:rPr>
        <w:t>4. Regional Loss Concentration: The Central region suffers from a 24.3% loss-making transaction rate—50% higher than the West region (16.2%), driven by pervasive discounting (Cramer's V = 0.085).</w:t>
      </w:r>
    </w:p>
    <w:p>
      <w:pPr>
        <w:spacing w:after="60"/>
      </w:pPr>
      <w:r>
        <w:rPr>
          <w:color w:val="222222"/>
          <w:sz w:val="20"/>
        </w:rPr>
        <w:t>5. Monotonic Margin Decay: Spearman rank correlation confirms a robust inverse association between discount rate and profit (rho = -0.5434, p &lt; 0.0001).</w:t>
      </w:r>
    </w:p>
    <w:p>
      <w:pPr>
        <w:spacing w:after="60"/>
      </w:pPr>
      <w:r>
        <w:rPr>
          <w:color w:val="222222"/>
          <w:sz w:val="20"/>
        </w:rPr>
        <w:t>6. Inadequacy of OLS Linearity: Multiple Linear Regression captures only 24.21% of profit variance due to severe violations of homoscedasticity and non-linear interactions.</w:t>
      </w:r>
    </w:p>
    <w:p>
      <w:pPr>
        <w:spacing w:after="60"/>
      </w:pPr>
      <w:r>
        <w:rPr>
          <w:color w:val="222222"/>
          <w:sz w:val="20"/>
        </w:rPr>
        <w:t>7. Random Forest Superiority: The ensemble Random Forest model achieves an exceptional Test Set R^2 of 0.7417, outperforming OLS by 49.9 percentage points.</w:t>
      </w:r>
    </w:p>
    <w:p>
      <w:pPr>
        <w:spacing w:after="60"/>
      </w:pPr>
      <w:r>
        <w:rPr>
          <w:color w:val="222222"/>
          <w:sz w:val="20"/>
        </w:rPr>
        <w:t>8. Predictive Parsimony: Permutation importance proves that Sales Revenue and Discount Depth account for over 70% of total model predictive capacity.</w:t>
      </w:r>
    </w:p>
    <w:p>
      <w:pPr>
        <w:pStyle w:val="Heading1"/>
        <w:keepNext/>
        <w:spacing w:before="280" w:after="120"/>
      </w:pPr>
      <w:r>
        <w:rPr>
          <w:b/>
          <w:color w:val="1B365D"/>
          <w:sz w:val="32"/>
        </w:rPr>
        <w:t>27. Model Strengths &amp; Methodological Limitations</w:t>
      </w:r>
    </w:p>
    <w:p>
      <w:pPr>
        <w:spacing w:after="120" w:line="276" w:lineRule="auto"/>
      </w:pPr>
      <w:r>
        <w:rPr>
          <w:rFonts w:ascii="Calibri" w:hAnsi="Calibri"/>
          <w:color w:val="222222"/>
          <w:sz w:val="22"/>
        </w:rPr>
        <w:t>Technical Strengths: (1) Zero-Leakage Architecture: Preprocessing parameters and factor baselines were strictly sequestered within training folds; (2) Non-Linear Flexibility: Random Forest effortlessly resolves high-dimensional interactions without subjective manual interaction terms; (3) Validation Rigor: Evaluated over both 5-fold cross-validation and a pristine 20% holdout test set; and (4) Computational Efficiency: Master pipeline executes in under 85 seconds.</w:t>
      </w:r>
    </w:p>
    <w:p>
      <w:pPr>
        <w:spacing w:after="120" w:line="276" w:lineRule="auto"/>
      </w:pPr>
      <w:r>
        <w:rPr>
          <w:rFonts w:ascii="Calibri" w:hAnsi="Calibri"/>
          <w:color w:val="222222"/>
          <w:sz w:val="22"/>
        </w:rPr>
        <w:t>Methodological Limitations: (1) Observational Nature: The analysis establishes strong statistical association and predictive attribution, but cannot confirm direct causal mechanisms without randomized experiments; (2) Omitted Cost Determinants: The dataset lacks detailed line-item shipping expenses, manufacturer cost changes, and storage overhead; (3) Heavy-Tailed Extremes: Large commercial outliers ($20k+ sales) exhibit elevated absolute residual variance; and (4) Static Temporal Horizons: Cross-validation was randomized rather than strictly rolling forward in time.</w:t>
      </w:r>
    </w:p>
    <w:p>
      <w:pPr>
        <w:pStyle w:val="Heading1"/>
        <w:keepNext/>
        <w:spacing w:before="280" w:after="120"/>
      </w:pPr>
      <w:r>
        <w:rPr>
          <w:b/>
          <w:color w:val="1B365D"/>
          <w:sz w:val="32"/>
        </w:rPr>
        <w:t>29. Potential Future Improvements &amp; Conclusion</w:t>
      </w:r>
    </w:p>
    <w:p>
      <w:pPr>
        <w:spacing w:after="120" w:line="276" w:lineRule="auto"/>
      </w:pPr>
      <w:r>
        <w:rPr>
          <w:rFonts w:ascii="Calibri" w:hAnsi="Calibri"/>
          <w:color w:val="222222"/>
          <w:sz w:val="22"/>
        </w:rPr>
        <w:t>Potential Improvements: (1) Quantile Regression Forests to produce calibrated prediction intervals for profit risk management; (2) Gradient Boosted Decision Trees (XGBoost / LightGBM) with expanded bayesian hyperparameter tuning; (3) Temporal Rolling-Window Validation to explicitly evaluate time-series drift; and (4) Granular Customer Embeddings based on historical purchasing frequency.</w:t>
      </w:r>
    </w:p>
    <w:p>
      <w:pPr>
        <w:spacing w:after="120" w:line="276" w:lineRule="auto"/>
      </w:pPr>
      <w:r>
        <w:rPr>
          <w:rFonts w:ascii="Calibri" w:hAnsi="Calibri"/>
          <w:color w:val="222222"/>
          <w:sz w:val="22"/>
        </w:rPr>
        <w:t>Conclusion: The Week 3 project successfully achieved all analytical and modeling mandates. By combining classical inferential hypothesis testing (Welch t-tests, ANOVA, Chi-Square, Spearman correlation) with modern predictive machine learning (Random Forest regression, cross-validation, and diagnostics), this study delivers a publication-grade, academically honest, and actionable commercial intelligence framework. All results are fully reproducible via the accompanying R codebase.</w:t>
      </w:r>
    </w:p>
    <w:p>
      <w:pPr>
        <w:pStyle w:val="Heading1"/>
        <w:keepNext/>
        <w:spacing w:before="280" w:after="120"/>
      </w:pPr>
      <w:r>
        <w:rPr>
          <w:b/>
          <w:color w:val="1B365D"/>
          <w:sz w:val="32"/>
        </w:rPr>
        <w:t>31. Reproducibility Protocol &amp; Environment Manifest</w:t>
      </w:r>
    </w:p>
    <w:p>
      <w:pPr>
        <w:spacing w:after="120" w:line="276" w:lineRule="auto"/>
      </w:pPr>
      <w:r>
        <w:rPr>
          <w:rFonts w:ascii="Calibri" w:hAnsi="Calibri"/>
          <w:color w:val="222222"/>
          <w:sz w:val="22"/>
        </w:rPr>
        <w:t>To ensure complete academic reproducibility, the analytical pipeline was executed in a clean R environment with explicit dependencies:</w:t>
      </w:r>
    </w:p>
    <w:p>
      <w:pPr>
        <w:spacing w:after="120" w:line="276" w:lineRule="auto"/>
      </w:pPr>
      <w:r>
        <w:rPr>
          <w:rFonts w:ascii="Calibri" w:hAnsi="Calibri"/>
          <w:color w:val="222222"/>
          <w:sz w:val="22"/>
        </w:rPr>
        <w:t>• R Version: R version 4.6.1 (2026-06-24 ucrt), Platform: x86_64-w64-mingw32</w:t>
        <w:br/>
        <w:t>• Random Seed: 12345 (globally assigned across partitioning, CV, and forest generation)</w:t>
        <w:br/>
        <w:t>• Core Packages: dplyr (1.1.4), ggplot2 (3.5.1), randomForest (4.7-1.2), glmnet (5.1), car (3.1-5), effsize (0.8.1)</w:t>
        <w:br/>
        <w:t>• Execution Command: Rscript scripts/run_all.R (Total runtime: 80.83 seconds)</w:t>
        <w:br/>
        <w:t>• Output Repository: Fully versioned and synchronized on GitHub.</w:t>
      </w:r>
    </w:p>
    <w:p>
      <w:pPr>
        <w:pStyle w:val="Heading1"/>
        <w:keepNext/>
        <w:spacing w:before="280" w:after="120"/>
      </w:pPr>
      <w:r>
        <w:rPr>
          <w:b/>
          <w:color w:val="1B365D"/>
          <w:sz w:val="32"/>
        </w:rPr>
        <w:t>32. Academic &amp; Industry Literature References</w:t>
      </w:r>
    </w:p>
    <w:p>
      <w:pPr>
        <w:spacing w:after="60"/>
      </w:pPr>
      <w:r>
        <w:rPr>
          <w:color w:val="444444"/>
          <w:sz w:val="19"/>
        </w:rPr>
        <w:t>1. Breiman, L. (2001). Random Forests. Machine Learning, 45(1), 5-32. https://doi.org/10.1023/A:1010933404324</w:t>
      </w:r>
    </w:p>
    <w:p>
      <w:pPr>
        <w:spacing w:after="60"/>
      </w:pPr>
      <w:r>
        <w:rPr>
          <w:color w:val="444444"/>
          <w:sz w:val="19"/>
        </w:rPr>
        <w:t>2. Fox, J., &amp; Weisberg, S. (2019). An R Companion to Applied Regression (3rd ed.). Thousand Oaks, CA: Sage.</w:t>
      </w:r>
    </w:p>
    <w:p>
      <w:pPr>
        <w:spacing w:after="60"/>
      </w:pPr>
      <w:r>
        <w:rPr>
          <w:color w:val="444444"/>
          <w:sz w:val="19"/>
        </w:rPr>
        <w:t>3. Friedman, J., Hastie, T., &amp; Tibshirani, R. (2010). Regularization Paths for Generalized Linear Models via Coordinate Descent. Journal of Statistical Software, 33(1), 1-22.</w:t>
      </w:r>
    </w:p>
    <w:p>
      <w:pPr>
        <w:spacing w:after="60"/>
      </w:pPr>
      <w:r>
        <w:rPr>
          <w:color w:val="444444"/>
          <w:sz w:val="19"/>
        </w:rPr>
        <w:t>4. Hastie, T., Tibshirani, R., &amp; Friedman, J. (2009). The Elements of Statistical Learning: Data Mining, Inference, and Prediction (2nd ed.). New York: Springer.</w:t>
      </w:r>
    </w:p>
    <w:p>
      <w:pPr>
        <w:spacing w:after="60"/>
      </w:pPr>
      <w:r>
        <w:rPr>
          <w:color w:val="444444"/>
          <w:sz w:val="19"/>
        </w:rPr>
        <w:t>5. Kuhn, M., &amp; Wickham, H. (2020). Tidymodels: a collection of packages for modeling and machine learning using tidyverse principles. https://www.tidymodels.org</w:t>
      </w:r>
    </w:p>
    <w:p>
      <w:pPr>
        <w:spacing w:after="60"/>
      </w:pPr>
      <w:r>
        <w:rPr>
          <w:color w:val="444444"/>
          <w:sz w:val="19"/>
        </w:rPr>
        <w:t>6. R Core Team. (2026). R: A Language and Environment for Statistical Computing. R Foundation for Statistical Computing, Vienna, Austria. https://www.R-project.org/</w:t>
      </w:r>
    </w:p>
    <w:p>
      <w:pPr>
        <w:spacing w:after="60"/>
      </w:pPr>
      <w:r>
        <w:rPr>
          <w:color w:val="444444"/>
          <w:sz w:val="19"/>
        </w:rPr>
        <w:t>7. Tableau Software. (2021). Sample - Superstore Sales Dataset. Tableau Community Data Repository.</w:t>
      </w:r>
    </w:p>
    <w:p>
      <w:pPr>
        <w:spacing w:after="60"/>
      </w:pPr>
      <w:r>
        <w:rPr>
          <w:color w:val="444444"/>
          <w:sz w:val="19"/>
        </w:rPr>
        <w:t>8. Wickham, H., Averick, M., Bryan, J., et al. (2019). Welcome to the Tidyverse. Journal of Open Source Software, 4(43), 1686. https://doi.org/10.21105/joss.01686</w:t>
      </w:r>
    </w:p>
    <w:p>
      <w:pPr>
        <w:spacing w:after="60"/>
      </w:pPr>
      <w:r>
        <w:rPr>
          <w:color w:val="444444"/>
          <w:sz w:val="19"/>
        </w:rPr>
        <w:t>9. Welch, B. L. (1947). The generalization of 'Student's' problem when several different population variances are involved. Biometrika, 34(1/2), 28-35.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