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赵安宁 的“题不二错”2024年03月30日</w:t>
      </w:r>
    </w:p>
    <w:p>
      <w:pPr>
        <w:pStyle w:val="Heading3"/>
        <w:spacing w:line="240" w:lineRule="auto" w:before="0" w:after="0"/>
      </w:pPr>
      <w:r>
        <w:t>1、题库编号：2020{'题号': '20231282K1', '题型': '单选题'}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2、题库编号：2020{'题号': '20231282K2', '题型': '单选题'}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3、题库编号：2020{'题号': '20231282K3', '题型': '多选题'}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4、题库编号：2020{'题号': '20231282K4', '题型': '单选题'}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5、题库编号：2020{'题号': '20231282K5', '题型': '单选题'}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6、题库编号：2020{'题号': '20231282K12', '题型': '计算题'}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7、题库编号：2020{'题号': '20231282K13', '题型': '单选题'}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4、答案：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5、答案：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6、答案：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7、答案：</w:t>
      </w:r>
    </w:p>
    <w:p>
      <w:r/>
    </w:p>
    <w:p>
      <w:r>
        <w:drawing>
          <wp:inline xmlns:a="http://schemas.openxmlformats.org/drawingml/2006/main" xmlns:pic="http://schemas.openxmlformats.org/drawingml/2006/picture">
            <wp:extent cx="3181350" cy="800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