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media/image7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的“题不二错”2024年04月03日</w:t>
      </w:r>
    </w:p>
    <w:p>
      <w:pPr>
        <w:pStyle w:val="Heading3"/>
        <w:spacing w:line="240" w:lineRule="auto" w:before="0" w:after="0"/>
      </w:pPr>
      <w:r>
        <w:t>1、题库编号：20231252K4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徐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朋</w:t>
      </w:r>
      <w:r>
        <w:rPr>
          <w:rFonts w:ascii="Times New Roman" w:hAnsi="Times New Roman" w:eastAsia="宋体"/>
          <w:b w:val="0"/>
        </w:rPr>
        <w:t>友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朋</w:t>
      </w:r>
      <w:r>
        <w:rPr>
          <w:rFonts w:ascii="Times New Roman" w:hAnsi="Times New Roman" w:eastAsia="宋体"/>
          <w:b w:val="0"/>
        </w:rPr>
        <w:t>友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9418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9418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</w:p>
    <w:p>
      <w:pPr>
        <w:pStyle w:val="Heading3"/>
        <w:spacing w:line="240" w:lineRule="auto" w:before="0" w:after="0"/>
      </w:pPr>
      <w:r>
        <w:t>2、题库编号：20231252K7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杂</w:t>
      </w:r>
      <w:r>
        <w:rPr>
          <w:rFonts w:ascii="Times New Roman" w:hAnsi="Times New Roman" w:eastAsia="宋体"/>
          <w:b w:val="0"/>
        </w:rPr>
        <w:t>技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99743" cy="12573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99743" cy="1257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99132" cy="90068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9132" cy="9006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</w:p>
    <w:p>
      <w:pPr>
        <w:pStyle w:val="Heading3"/>
        <w:spacing w:line="240" w:lineRule="auto" w:before="0" w:after="0"/>
      </w:pPr>
      <w:r>
        <w:t>3、题库编号：20231252K10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救</w:t>
      </w:r>
      <w:r>
        <w:rPr>
          <w:rFonts w:ascii="Times New Roman" w:hAnsi="Times New Roman" w:eastAsia="宋体"/>
          <w:b w:val="0"/>
        </w:rPr>
        <w:t>灾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军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困</w:t>
      </w:r>
      <w:r>
        <w:rPr>
          <w:rFonts w:ascii="Times New Roman" w:hAnsi="Times New Roman" w:eastAsia="宋体"/>
          <w:b w:val="0"/>
        </w:rPr>
        <w:t>灾</w:t>
      </w:r>
      <w:r>
        <w:rPr>
          <w:rFonts w:ascii="Times New Roman" w:hAnsi="Times New Roman" w:eastAsia="宋体"/>
          <w:b w:val="0"/>
        </w:rPr>
        <w:t>民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投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资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投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投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资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伞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投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伞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资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资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资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资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</w:p>
    <w:p>
      <w:pPr>
        <w:pStyle w:val="Heading3"/>
        <w:spacing w:line="240" w:lineRule="auto" w:before="0" w:after="0"/>
      </w:pPr>
      <w:r>
        <w:t>4、题库编号：20231252K12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咸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雨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伞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淋</w:t>
      </w:r>
      <w:r>
        <w:rPr>
          <w:rFonts w:ascii="Times New Roman" w:hAnsi="Times New Roman" w:eastAsia="宋体"/>
          <w:b w:val="0"/>
        </w:rPr>
        <w:t>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雨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伞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淋</w:t>
      </w:r>
      <w:r>
        <w:rPr>
          <w:rFonts w:ascii="Times New Roman" w:hAnsi="Times New Roman" w:eastAsia="宋体"/>
          <w:b w:val="0"/>
        </w:rPr>
        <w:t>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伞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伞</w:t>
      </w:r>
      <w:r>
        <w:rPr>
          <w:rFonts w:ascii="Times New Roman" w:hAnsi="Times New Roman" w:eastAsia="宋体"/>
          <w:b w:val="0"/>
        </w:rPr>
        <w:t>柄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97280" cy="109270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0927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111099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11109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102412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10241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x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y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r>
        <w:t>3、答案：</w:t>
      </w:r>
    </w:p>
    <w:p>
      <w:pPr/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/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</w:p>
    <w:p>
      <w:r>
        <w:drawing>
          <wp:inline xmlns:a="http://schemas.openxmlformats.org/drawingml/2006/main" xmlns:pic="http://schemas.openxmlformats.org/drawingml/2006/picture">
            <wp:extent cx="458724" cy="1062228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724" cy="10622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。</w:t>
      </w:r>
    </w:p>
    <w:p>
      <w:pPr/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h,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y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100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p>
      <w:pPr/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资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x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y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r(1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p>
      <w:pPr/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资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p>
      <w:r>
        <w:t>4、答案：</w:t>
      </w:r>
    </w:p>
    <w:p>
      <w:pPr/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雨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雨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雨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矢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水平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竖直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伞</w:t>
      </w:r>
      <w:r>
        <w:rPr>
          <w:rFonts w:ascii="Times New Roman" w:hAnsi="Times New Roman" w:eastAsia="宋体"/>
          <w:b w:val="0"/>
        </w:rPr>
        <w:t>柄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16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