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错题重做2024年04月08日姓名______得分_______</w:t>
      </w:r>
    </w:p>
    <w:p>
      <w:pPr>
        <w:spacing w:line="240" w:lineRule="auto" w:before="0" w:after="0"/>
      </w:pPr>
      <w:r>
        <w:t>1、题库编号：20231251K1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line="240" w:lineRule="auto" w:before="0" w:after="0"/>
      </w:pPr>
      <w:r>
        <w:t>2、题库编号：20231252K3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line="240" w:lineRule="auto" w:before="0" w:after="0"/>
      </w:pPr>
      <w:r>
        <w:t>3、题库编号：20231252K4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朋</w:t>
      </w:r>
      <w:r>
        <w:rPr>
          <w:rFonts w:ascii="Times New Roman" w:hAnsi="Times New Roman" w:eastAsia="宋体"/>
          <w:b w:val="0"/>
        </w:rPr>
        <w:t>友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418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line="240" w:lineRule="auto" w:before="0" w:after="0"/>
      </w:pPr>
      <w:r>
        <w:t>4、题库编号：20231252K5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line="240" w:lineRule="auto" w:before="0" w:after="0"/>
      </w:pPr>
      <w:r>
        <w:t>5、题库编号：20231252K6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48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48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6、题库编号：20231252K7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9743" cy="1257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25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99132" cy="90068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9132" cy="900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line="240" w:lineRule="auto" w:before="0" w:after="0"/>
      </w:pPr>
      <w:r>
        <w:t>7、题库编号：20231252K8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934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line="240" w:lineRule="auto" w:before="0" w:after="0"/>
      </w:pPr>
      <w:r>
        <w:t>8、题库编号：20231252K9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40991" cy="75590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0991" cy="755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猴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8、答案：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