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的“题不二错”2024年06月12日</w:t>
      </w:r>
    </w:p>
    <w:p>
      <w:pPr>
        <w:pStyle w:val="Heading3"/>
        <w:spacing w:line="240" w:lineRule="auto" w:before="0" w:after="0"/>
      </w:pPr>
      <w:r>
        <w:t>1、题库编号：20231391K13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2、题库编号：20231392K6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pStyle w:val="Heading3"/>
        <w:spacing w:line="240" w:lineRule="auto" w:before="0" w:after="0"/>
      </w:pPr>
      <w:r>
        <w:t>3、题库编号：20231392K10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659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4、题库编号：202313931KK4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pStyle w:val="Heading3"/>
        <w:spacing w:line="240" w:lineRule="auto" w:before="0" w:after="0"/>
      </w:pPr>
      <w:r>
        <w:t>5、题库编号：202313931KK11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80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6、题库编号：202313932KK6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5852" cy="9768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</w:p>
    <w:p>
      <w:pPr>
        <w:pStyle w:val="Heading3"/>
        <w:spacing w:line="240" w:lineRule="auto" w:before="0" w:after="0"/>
      </w:pPr>
      <w:r>
        <w:t>7、题库编号：202313932KK10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244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80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8、题库编号：20231394K12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5004" cy="34442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344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pStyle w:val="Heading3"/>
        <w:spacing w:line="240" w:lineRule="auto" w:before="0" w:after="0"/>
      </w:pPr>
      <w:r>
        <w:t>9、题库编号：2023139Z1K7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6864" cy="104241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10、题库编号：2023139Z2K9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108051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11、题库编号：2023139Z2K11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45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45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6061" cy="71706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061" cy="717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12、题库编号：202313101K11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苍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569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pStyle w:val="Heading3"/>
        <w:spacing w:line="240" w:lineRule="auto" w:before="0" w:after="0"/>
      </w:pPr>
      <w:r>
        <w:t>13、题库编号：202313102K6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9494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14、题库编号：202313102K13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464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15、题库编号：202313103K6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柳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6416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16、题库编号：202313103K13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241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pStyle w:val="Heading3"/>
        <w:spacing w:line="240" w:lineRule="auto" w:before="0" w:after="0"/>
      </w:pPr>
      <w:r>
        <w:t>17、题库编号：2023131041KK7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5628" cy="81838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pStyle w:val="Heading3"/>
        <w:spacing w:line="240" w:lineRule="auto" w:before="0" w:after="0"/>
      </w:pPr>
      <w:r>
        <w:t>18、题库编号：2023131042KK10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惠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350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pStyle w:val="Heading3"/>
        <w:spacing w:line="240" w:lineRule="auto" w:before="0" w:after="0"/>
      </w:pPr>
      <w:r>
        <w:t>19、题库编号：2023131051KK10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96316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20、题库编号：2023131052KK9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1412" cy="84124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21、题库编号：20231310Z3K3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590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pStyle w:val="Heading3"/>
        <w:spacing w:line="240" w:lineRule="auto" w:before="0" w:after="0"/>
      </w:pPr>
      <w:r>
        <w:t>22、题库编号：2023131052KK11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5648" cy="11353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13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23、题库编号：20231310Z4K9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屯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80314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pStyle w:val="Heading3"/>
        <w:spacing w:line="240" w:lineRule="auto" w:before="0" w:after="0"/>
      </w:pPr>
      <w:r>
        <w:t>24、题库编号：20231310Z4K10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7114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</w:p>
    <w:p>
      <w:pPr>
        <w:pStyle w:val="Heading3"/>
        <w:spacing w:line="240" w:lineRule="auto" w:before="0" w:after="0"/>
      </w:pPr>
      <w:r>
        <w:t>25、题库编号：20231310Z5K8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1193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26、题库编号：20231310Z6K11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靖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2836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2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27、题库编号：20231310Z6K12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6048" cy="70408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[\f(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)]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9、答案：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mR,qE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16、答案：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18、答案：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19、答案：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20、答案：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11353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13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139293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1392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弛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0.125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sectPr w:rsidR="00FC693F" w:rsidRPr="0006063C" w:rsidSect="00034616">
      <w:footerReference w:type="default" r:id="rId38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