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错题重做2024年12月25日姓名______得分_______</w:t>
      </w:r>
    </w:p>
    <w:p>
      <w:pPr>
        <w:spacing w:after="0"/>
      </w:pPr>
      <w:r>
        <w:t>说明：考试时间75分钟，单选题2个,每个3分，多选题2个，每个4分，实验题0个，每个8分，计算题0个，分值为0</w:t>
      </w:r>
    </w:p>
    <w:p>
      <w:pPr>
        <w:spacing w:line="240" w:lineRule="auto" w:before="0" w:after="0"/>
      </w:pPr>
      <w:r>
        <w:t>1、题库编号：20232113K11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p>
      <w:pPr>
        <w:spacing w:line="240" w:lineRule="auto" w:before="0" w:after="0"/>
      </w:pPr>
      <w:r>
        <w:t>2、题库编号：2023211Z2K5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8442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8442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line="240" w:lineRule="auto" w:before="0" w:after="0"/>
      </w:pPr>
      <w:r>
        <w:t>3、题库编号：20232112K2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line="240" w:lineRule="auto" w:before="0" w:after="0"/>
      </w:pPr>
      <w:r>
        <w:t>4、题库编号：2023211Z4K3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凤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t>1、答案：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