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1、题库编号：2023214Z7K5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6252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252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2、题库编号：2023214Z7L2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9348" cy="742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9348" cy="742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γ,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