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tiff"/>
  <Override PartName="/word/media/image4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张钰梁 的“题不二错”2024年12月31日</w:t>
      </w:r>
    </w:p>
    <w:p>
      <w:pPr>
        <w:pStyle w:val="Heading3"/>
        <w:spacing w:line="240" w:lineRule="auto" w:before="0" w:after="0"/>
      </w:pPr>
      <w:r>
        <w:t>1、题库编号：20232122K7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422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pStyle w:val="Heading3"/>
        <w:spacing w:line="240" w:lineRule="auto" w:before="0" w:after="0"/>
      </w:pPr>
      <w:r>
        <w:t>2、题库编号：20232122K6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4356" cy="3566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356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</w:p>
    <w:p>
      <w:pPr>
        <w:pStyle w:val="Heading3"/>
        <w:spacing w:after="0"/>
      </w:pPr>
      <w:r>
        <w:t>朱佳琦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赵安宁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3"/>
      <w:type w:val="oddPage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