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张钰梁 的“题不二错”2024年12月31日</w:t>
      </w:r>
    </w:p>
    <w:p>
      <w:pPr>
        <w:pStyle w:val="Heading3"/>
        <w:spacing w:line="240" w:lineRule="auto" w:before="0" w:after="0"/>
      </w:pPr>
      <w:r>
        <w:t>1、题库编号：2023222ZK5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5896" cy="966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896" cy="96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pStyle w:val="Heading3"/>
        <w:spacing w:line="240" w:lineRule="auto" w:before="0" w:after="0"/>
      </w:pPr>
      <w:r>
        <w:t>2、题库编号：2023222ZK9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55876" cy="9723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876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3600" cy="8641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4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3600" cy="10561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br w:type="page"/>
      </w:r>
    </w:p>
    <w:p>
      <w:pPr>
        <w:pStyle w:val="Heading3"/>
        <w:spacing w:after="0"/>
      </w:pPr>
      <w:r>
        <w:t>朱佳琦 的“题不二错”2024年12月31日</w:t>
      </w:r>
    </w:p>
    <w:p>
      <w:pPr>
        <w:pStyle w:val="Heading3"/>
        <w:spacing w:line="240" w:lineRule="auto" w:before="0" w:after="0"/>
      </w:pPr>
      <w:r>
        <w:t>1、题库编号：2023222ZK5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5896" cy="9662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896" cy="96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pStyle w:val="Heading3"/>
        <w:spacing w:line="240" w:lineRule="auto" w:before="0" w:after="0"/>
      </w:pPr>
      <w:r>
        <w:t>2、题库编号：2023222ZK3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type w:val="oddPage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