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media/image6.jpg" ContentType="image/tiff"/>
  <Override PartName="/word/media/image7.jpg" ContentType="image/tiff"/>
  <Override PartName="/word/media/image8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尹耀琪 的“题不二错”2025年02月10日</w:t>
      </w:r>
    </w:p>
    <w:p>
      <w:pPr>
        <w:pStyle w:val="Heading3"/>
        <w:spacing w:line="240" w:lineRule="auto" w:before="0" w:after="0"/>
      </w:pPr>
      <w:r>
        <w:t>1、题库编号：2023222Z11L4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6292" cy="883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6292" cy="9403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940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2、题库编号：2023222Z11K3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20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 xml:space="preserve">       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6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 xml:space="preserve">       2、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br w:type="page"/>
      </w:r>
    </w:p>
    <w:p>
      <w:pPr>
        <w:spacing w:after="0"/>
      </w:pPr>
      <w:r>
        <w:br w:type="page"/>
      </w:r>
    </w:p>
    <w:p>
      <w:pPr>
        <w:pStyle w:val="Heading3"/>
        <w:spacing w:after="0"/>
      </w:pPr>
      <w:r>
        <w:t>张钰梁 的“题不二错”2025年02月10日</w:t>
      </w:r>
    </w:p>
    <w:p>
      <w:pPr>
        <w:pStyle w:val="Heading3"/>
        <w:spacing w:line="240" w:lineRule="auto" w:before="0" w:after="0"/>
      </w:pPr>
      <w:r>
        <w:t>1、题库编号：2023222Z10L3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荆</w:t>
      </w:r>
      <w:r>
        <w:rPr>
          <w:rFonts w:ascii="Times New Roman" w:hAnsi="Times New Roman" w:eastAsia="宋体"/>
          <w:b w:val="0"/>
          <w:sz w:val="23"/>
        </w:rPr>
        <w:t>门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倾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7162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哪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pStyle w:val="Heading3"/>
        <w:spacing w:line="240" w:lineRule="auto" w:before="0" w:after="0"/>
      </w:pPr>
      <w:r>
        <w:t>2、题库编号：2023222Z10K2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7360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15668" cy="88696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5668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15668" cy="9189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5668" cy="9189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 xml:space="preserve">       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E'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r>
        <w:t xml:space="preserve">       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7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