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的“题不二错”2024年03月13日</w:t>
      </w:r>
    </w:p>
    <w:p>
      <w:pPr>
        <w:pStyle w:val="Heading3"/>
        <w:spacing w:line="240" w:lineRule="auto" w:before="0" w:after="0"/>
      </w:pPr>
      <w:r>
        <w:t>1、题库编号：20231252K7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如图甲所示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在杂技表演中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猴子沿竖直杆向上运动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图像如图乙所示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同时人顶着杆沿水平地面运动的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图像如图丙所示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若以地面为参考系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下列说法正确的是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9743" cy="1257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99132" cy="9006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9132" cy="900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猴子在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内的加速度大小为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时猴子的速度大小为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猴子的运动轨迹为直线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猴子在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内做匀变速曲线运动</w:t>
      </w:r>
    </w:p>
    <w:p>
      <w:pPr>
        <w:pStyle w:val="Heading3"/>
        <w:spacing w:line="240" w:lineRule="auto" w:before="0" w:after="0"/>
      </w:pPr>
      <w:r>
        <w:t>2、题库编号：20231252K9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2021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10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29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华南师大附中校运会开幕式隆重举行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各班进行入场式表演时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无人机从地面开始起飞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在空中进行跟踪拍摄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若无人机在水平和竖直方向运动的速度随时间</w:t>
      </w:r>
      <w:r>
        <w:rPr>
          <w:rFonts w:ascii="Times New Roman" w:hAnsi="Times New Roman" w:eastAsia="宋体"/>
          <w:b w:val="0"/>
        </w:rPr>
        <w:t>变化关系图像如图甲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则无人机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40991" cy="7559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0991" cy="755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的时间内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运动轨迹为直线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时刻的加速度方向竖直向上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的时间内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运动轨迹为曲线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的时间内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速度均匀变化</w:t>
      </w:r>
    </w:p>
    <w:p>
      <w:pPr>
        <w:pStyle w:val="Heading3"/>
        <w:spacing w:line="240" w:lineRule="auto" w:before="0" w:after="0"/>
      </w:pPr>
      <w:r>
        <w:t>3、题库编号：20231252K4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2023·</w:t>
      </w:r>
      <w:r>
        <w:rPr>
          <w:rFonts w:ascii="Times New Roman" w:hAnsi="Times New Roman" w:eastAsia="宋体"/>
          <w:b w:val="0"/>
        </w:rPr>
        <w:t>徐州市高一统考期末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如图所示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在行驶的列车上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一位小朋友在水平桌上玩玩具火车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小朋友让玩具火车相对于列车以恒定的速率沿直线从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再以相同的速率从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AB</w:t>
      </w:r>
      <w:r>
        <w:rPr>
          <w:rFonts w:ascii="Times New Roman" w:hAnsi="Times New Roman" w:eastAsia="宋体"/>
          <w:b w:val="0"/>
        </w:rPr>
        <w:t>连线和列车运动方向垂直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点期间列车匀速行驶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点期间列车匀加速行驶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下列说法正确的是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418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的时间大于从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的时间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的时间小于从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的时间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相对地面做匀变速直线运动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相对地面做匀变速曲线运动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猴子在竖直方向做初速度大小为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</w:rPr>
        <w:t>、加速度大小为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的匀减速直线运动，水平方向做速度大小为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</w:rPr>
        <w:t>的匀速直线运动，其合运动为曲线运动，故猴子在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内做匀变速曲线运动，加速度大小为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，选项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错误，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正确；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时猴子的速度大小为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</w:rPr>
        <w:t>，选项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图线的斜率表示加速度。在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的时间内，无人机沿水平方向和竖直方向均做初速度为零的匀加速直线运动，其合运动仍是直线运动，故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错误；在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的时间内，无人机的加速度沿竖直方向向下，但初速度为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时刻的末速度，方向不是沿竖直方向，初速度和加速度不共线，因此运动轨迹应是曲线，故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错误；在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的时间内，无人机加速度沿竖直方向向下，且为定值，因此其速度均匀变化，故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正确；在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时刻，由题图甲、乙分析可知，无人机水平方向上的加速度不为零，其合加速度方向不是竖直向上，故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以地面为参考系时，玩具火车从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运动时，在</w:t>
      </w:r>
      <w:r>
        <w:rPr>
          <w:rFonts w:ascii="Times New Roman" w:hAnsi="Times New Roman" w:eastAsia="宋体"/>
          <w:b w:val="0"/>
          <w:i/>
        </w:rPr>
        <w:t>BA</w:t>
      </w:r>
      <w:r>
        <w:rPr>
          <w:rFonts w:ascii="Times New Roman" w:hAnsi="Times New Roman" w:eastAsia="宋体"/>
          <w:b w:val="0"/>
        </w:rPr>
        <w:t>方向上做匀速运动，同时具有沿列车运动方向的匀加速运动，两方向垂直，可得两个分运动的合运动为匀变速曲线运动，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正确；以地面为参考系时，玩具火车从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运动时，在</w:t>
      </w:r>
      <w:r>
        <w:rPr>
          <w:rFonts w:ascii="Times New Roman" w:hAnsi="Times New Roman" w:eastAsia="宋体"/>
          <w:b w:val="0"/>
          <w:i/>
        </w:rPr>
        <w:t>AB</w:t>
      </w:r>
      <w:r>
        <w:rPr>
          <w:rFonts w:ascii="Times New Roman" w:hAnsi="Times New Roman" w:eastAsia="宋体"/>
          <w:b w:val="0"/>
        </w:rPr>
        <w:t>方向上做匀速运动，此时列车匀速运动，可知两个匀速运动的合运动为匀速直线运动，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错误；玩具火车相对于列车以恒定的速率沿直线从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点运动到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点，再以相同的速率从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点运动到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点，可得二者运动的时间相同，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