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如图所示的几个运动过程中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物体弹性势能增加的是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运动员从压杆到杆伸直的过程中，杆的形变量先增大后减小，其弹性势能先增大后减小，故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错误；人拉长弹簧的过程中，弹簧的伸长量在增大，则弹性势能增加，故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正确；模型飞机用橡皮筋发射出去的过程中，橡皮筋的形变量减小，则其弹性势能减小，故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错误；小球被弹簧向上弹起的过程中，弹簧的压缩量减小，其弹性势能减小，故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