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</w:p>
    <w:p>
      <w:pPr>
        <w:spacing w:after="0"/>
      </w:pPr>
      <w:r>
        <w:t>2、答案：</w:t>
      </w:r>
    </w:p>
    <w:p>
      <w:pPr>
        <w:spacing w:after="0"/>
      </w:pPr>
      <w:r>
        <w:t>3、答案：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