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烧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4519" cy="1217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19" cy="1217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