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碚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企</w:t>
      </w:r>
      <w:r>
        <w:rPr>
          <w:rFonts w:ascii="Times New Roman" w:hAnsi="Times New Roman" w:eastAsia="宋体"/>
          <w:b w:val="0"/>
          <w:sz w:val="23"/>
        </w:rPr>
        <w:t>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59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59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DU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四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霍</w:t>
      </w:r>
      <w:r>
        <w:rPr>
          <w:rFonts w:ascii="Times New Roman" w:hAnsi="Times New Roman" w:eastAsia="宋体"/>
          <w:b w:val="0"/>
          <w:sz w:val="27"/>
        </w:rPr>
        <w:t>尔</w:t>
      </w:r>
      <w:r>
        <w:rPr>
          <w:rFonts w:ascii="Times New Roman" w:hAnsi="Times New Roman" w:eastAsia="宋体"/>
          <w:b w:val="0"/>
          <w:sz w:val="27"/>
        </w:rPr>
        <w:t>元</w:t>
      </w:r>
      <w:r>
        <w:rPr>
          <w:rFonts w:ascii="Times New Roman" w:hAnsi="Times New Roman" w:eastAsia="宋体"/>
          <w:b w:val="0"/>
          <w:sz w:val="27"/>
        </w:rPr>
        <w:t>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厚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6233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解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聚</w:t>
      </w:r>
      <w:r>
        <w:rPr>
          <w:rFonts w:ascii="Times New Roman" w:hAnsi="Times New Roman" w:eastAsia="宋体"/>
          <w:b w:val="0"/>
          <w:sz w:val="23"/>
        </w:rPr>
        <w:t>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施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问</w:t>
      </w:r>
      <w:r>
        <w:rPr>
          <w:rFonts w:ascii="Times New Roman" w:hAnsi="Times New Roman" w:eastAsia="宋体"/>
          <w:b w:val="0"/>
          <w:sz w:val="23"/>
        </w:rPr>
        <w:t>题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