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根</w:t>
      </w:r>
      <w:r>
        <w:rPr>
          <w:rFonts w:ascii="Times New Roman" w:hAnsi="Times New Roman" w:eastAsia="宋体"/>
          <w:b w:val="0"/>
          <w:sz w:val="23"/>
        </w:rPr>
        <w:t>足</w:t>
      </w:r>
      <w:r>
        <w:rPr>
          <w:rFonts w:ascii="Times New Roman" w:hAnsi="Times New Roman" w:eastAsia="宋体"/>
          <w:b w:val="0"/>
          <w:sz w:val="23"/>
        </w:rPr>
        <w:t>够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忽</w:t>
      </w:r>
      <w:r>
        <w:rPr>
          <w:rFonts w:ascii="Times New Roman" w:hAnsi="Times New Roman" w:eastAsia="宋体"/>
          <w:b w:val="0"/>
          <w:sz w:val="23"/>
        </w:rPr>
        <w:t>略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也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并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且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触</w:t>
      </w:r>
      <w:r>
        <w:rPr>
          <w:rFonts w:ascii="Times New Roman" w:hAnsi="Times New Roman" w:eastAsia="宋体"/>
          <w:b w:val="0"/>
          <w:sz w:val="23"/>
        </w:rPr>
        <w:t>良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整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装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给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初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使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杆</w:t>
      </w:r>
      <w:r>
        <w:rPr>
          <w:rFonts w:ascii="Times New Roman" w:hAnsi="Times New Roman" w:eastAsia="宋体"/>
          <w:b w:val="0"/>
          <w:sz w:val="23"/>
        </w:rPr>
        <w:t>停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5577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5577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