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粗</w:t>
      </w:r>
      <w:r>
        <w:rPr>
          <w:rFonts w:ascii="Times New Roman" w:hAnsi="Times New Roman" w:eastAsia="宋体"/>
          <w:b w:val="0"/>
          <w:sz w:val="23"/>
        </w:rPr>
        <w:t>糙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桌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贴</w:t>
      </w:r>
      <w:r>
        <w:rPr>
          <w:rFonts w:ascii="Times New Roman" w:hAnsi="Times New Roman" w:eastAsia="宋体"/>
          <w:b w:val="0"/>
          <w:sz w:val="23"/>
        </w:rPr>
        <w:t>近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至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,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支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  <w:vertAlign w:val="subscript"/>
        </w:rPr>
        <w:t>N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  <w:vertAlign w:val="subscript"/>
        </w:rPr>
        <w:t>f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情</w:t>
      </w:r>
      <w:r>
        <w:rPr>
          <w:rFonts w:ascii="Times New Roman" w:hAnsi="Times New Roman" w:eastAsia="宋体"/>
          <w:b w:val="0"/>
          <w:sz w:val="23"/>
        </w:rPr>
        <w:t>况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判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01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01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