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2332" cy="9494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