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202312541KK1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决</w:t>
      </w:r>
      <w:r>
        <w:rPr>
          <w:rFonts w:ascii="Times New Roman" w:hAnsi="Times New Roman" w:eastAsia="宋体"/>
          <w:b w:val="0"/>
        </w:rPr>
        <w:t>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