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202312542KK3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翻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7025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7025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