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202312621KK6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兴</w:t>
      </w:r>
      <w:r>
        <w:rPr>
          <w:rFonts w:ascii="Times New Roman" w:hAnsi="Times New Roman" w:eastAsia="宋体"/>
          <w:b w:val="0"/>
        </w:rPr>
        <w:t>趣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室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录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录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91512" cy="13380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1512" cy="13380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650236" cy="13304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0236" cy="13304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尝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304288" cy="129997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4288" cy="12999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