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202312621KL3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塔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柄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塔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塔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杠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露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9509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9509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塔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