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堂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堂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瓶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451104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04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mL,t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mL,t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mL,t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nmL,t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