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26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6216" cy="9098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