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5172" cy="996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5172" cy="996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GM,L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