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20231283K13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锦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冬</w:t>
      </w:r>
      <w:r>
        <w:rPr>
          <w:rFonts w:ascii="Times New Roman" w:hAnsi="Times New Roman" w:eastAsia="宋体"/>
          <w:b w:val="0"/>
        </w:rPr>
        <w:t>奥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壶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帷</w:t>
      </w:r>
      <w:r>
        <w:rPr>
          <w:rFonts w:ascii="Times New Roman" w:hAnsi="Times New Roman" w:eastAsia="宋体"/>
          <w:b w:val="0"/>
        </w:rPr>
        <w:t>幕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壶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壶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营</w:t>
      </w:r>
      <w:r>
        <w:rPr>
          <w:rFonts w:ascii="Times New Roman" w:hAnsi="Times New Roman" w:eastAsia="宋体"/>
          <w:b w:val="0"/>
        </w:rPr>
        <w:t>垒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壶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799844" cy="78181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9844" cy="7818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壶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壶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壶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壶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