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阜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63268" cy="17129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268" cy="1712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4861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486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1700" cy="1508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0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