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碚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6968" cy="1461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1461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4617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