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20231285L4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PPT\\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PPT\\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锤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锤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锤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锤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84148" cy="12146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4148" cy="12146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锤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须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锤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锤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写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锤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