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咸</w:t>
      </w:r>
      <w:r>
        <w:rPr>
          <w:rFonts w:ascii="Times New Roman" w:hAnsi="Times New Roman" w:eastAsia="宋体"/>
          <w:b w:val="0"/>
        </w:rPr>
        <w:t>阳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绷</w:t>
      </w:r>
      <w:r>
        <w:rPr>
          <w:rFonts w:ascii="Times New Roman" w:hAnsi="Times New Roman" w:eastAsia="宋体"/>
          <w:b w:val="0"/>
        </w:rPr>
        <w:t>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734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734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